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C70E" w14:textId="09FC4073" w:rsidR="00B95395" w:rsidRPr="00A037FC" w:rsidRDefault="00B95395" w:rsidP="00B95395">
      <w:pPr>
        <w:pStyle w:val="3GPPHeader"/>
        <w:spacing w:after="60"/>
        <w:rPr>
          <w:sz w:val="32"/>
          <w:lang w:val="sv-SE"/>
        </w:rPr>
      </w:pPr>
      <w:bookmarkStart w:id="0" w:name="_Hlk127388451"/>
      <w:r w:rsidRPr="00A037FC">
        <w:rPr>
          <w:lang w:val="sv-SE"/>
        </w:rPr>
        <w:t>3GPP TSG RAN WG1#11</w:t>
      </w:r>
      <w:r w:rsidR="00A037FC" w:rsidRPr="00A037FC">
        <w:rPr>
          <w:lang w:val="sv-SE"/>
        </w:rPr>
        <w:t>3</w:t>
      </w:r>
      <w:r w:rsidRPr="00A037FC">
        <w:rPr>
          <w:lang w:val="sv-SE"/>
        </w:rPr>
        <w:tab/>
      </w:r>
      <w:r w:rsidR="009B505C" w:rsidRPr="009B505C">
        <w:rPr>
          <w:lang w:val="sv-SE"/>
        </w:rPr>
        <w:t>R1-2305574</w:t>
      </w:r>
    </w:p>
    <w:p w14:paraId="6BDBF1FF" w14:textId="77777777" w:rsidR="00D36D60" w:rsidRPr="00D36D60" w:rsidRDefault="00D36D60" w:rsidP="00D36D60">
      <w:pPr>
        <w:pStyle w:val="3GPPHeader"/>
        <w:rPr>
          <w:bCs/>
          <w:lang w:val="en-GB"/>
        </w:rPr>
      </w:pPr>
      <w:r w:rsidRPr="00D36D60">
        <w:rPr>
          <w:bCs/>
          <w:lang w:val="en-GB"/>
        </w:rPr>
        <w:t>Incheon, Korea, May 22</w:t>
      </w:r>
      <w:r w:rsidRPr="00D36D60">
        <w:rPr>
          <w:bCs/>
          <w:vertAlign w:val="superscript"/>
          <w:lang w:val="en-GB"/>
        </w:rPr>
        <w:t>nd</w:t>
      </w:r>
      <w:r w:rsidRPr="00D36D60">
        <w:rPr>
          <w:bCs/>
          <w:lang w:val="en-GB"/>
        </w:rPr>
        <w:t xml:space="preserve"> – May 26</w:t>
      </w:r>
      <w:r w:rsidRPr="00D36D60">
        <w:rPr>
          <w:bCs/>
          <w:vertAlign w:val="superscript"/>
          <w:lang w:val="en-GB"/>
        </w:rPr>
        <w:t>th</w:t>
      </w:r>
      <w:r w:rsidRPr="00D36D60">
        <w:rPr>
          <w:bCs/>
          <w:lang w:val="en-GB"/>
        </w:rPr>
        <w:t>, 2023</w:t>
      </w:r>
    </w:p>
    <w:p w14:paraId="75832CDD" w14:textId="77777777" w:rsidR="00B95395" w:rsidRDefault="00B95395" w:rsidP="00B95395">
      <w:pPr>
        <w:pStyle w:val="3GPPHeader"/>
        <w:spacing w:after="0"/>
        <w:rPr>
          <w:rFonts w:cs="Arial"/>
          <w:sz w:val="22"/>
        </w:rPr>
      </w:pPr>
    </w:p>
    <w:p w14:paraId="445D0EE0" w14:textId="2A5FB4AE" w:rsidR="00B95395" w:rsidRPr="0052593D" w:rsidRDefault="00B95395" w:rsidP="00B95395">
      <w:pPr>
        <w:pStyle w:val="3GPPHeader"/>
        <w:spacing w:after="0"/>
        <w:rPr>
          <w:rFonts w:cs="Arial"/>
          <w:sz w:val="22"/>
        </w:rPr>
      </w:pPr>
      <w:r w:rsidRPr="00D51B22">
        <w:rPr>
          <w:rFonts w:cs="Arial"/>
          <w:sz w:val="22"/>
        </w:rPr>
        <w:t>Agenda Item:</w:t>
      </w:r>
      <w:r w:rsidRPr="00D51B22">
        <w:rPr>
          <w:rFonts w:cs="Arial"/>
          <w:sz w:val="22"/>
        </w:rPr>
        <w:tab/>
      </w:r>
      <w:r w:rsidRPr="009D0C31">
        <w:rPr>
          <w:rFonts w:cs="Arial"/>
        </w:rPr>
        <w:t>9.7.</w:t>
      </w:r>
      <w:r w:rsidR="001A4B72">
        <w:rPr>
          <w:rFonts w:cs="Arial"/>
        </w:rPr>
        <w:t>2</w:t>
      </w:r>
    </w:p>
    <w:p w14:paraId="41107321" w14:textId="77777777" w:rsidR="00B95395" w:rsidRPr="00395743" w:rsidRDefault="00B95395" w:rsidP="00B95395">
      <w:pPr>
        <w:pStyle w:val="3GPPHeader"/>
        <w:spacing w:after="0"/>
        <w:rPr>
          <w:rFonts w:cs="Arial"/>
          <w:sz w:val="22"/>
        </w:rPr>
      </w:pPr>
      <w:r w:rsidRPr="00395743">
        <w:rPr>
          <w:rFonts w:cs="Arial"/>
          <w:sz w:val="22"/>
        </w:rPr>
        <w:t>Source:</w:t>
      </w:r>
      <w:r w:rsidRPr="00395743">
        <w:rPr>
          <w:rFonts w:cs="Arial"/>
          <w:sz w:val="22"/>
        </w:rPr>
        <w:tab/>
        <w:t>Ericsson</w:t>
      </w:r>
    </w:p>
    <w:p w14:paraId="2F1D84F8" w14:textId="59F662EE" w:rsidR="00B95395" w:rsidRPr="00395743" w:rsidRDefault="00B95395" w:rsidP="00B95395">
      <w:pPr>
        <w:pStyle w:val="3GPPHeader"/>
        <w:spacing w:after="0"/>
        <w:rPr>
          <w:rFonts w:cs="Arial"/>
          <w:sz w:val="22"/>
        </w:rPr>
      </w:pPr>
      <w:r w:rsidRPr="00395743">
        <w:rPr>
          <w:rFonts w:cs="Arial"/>
          <w:sz w:val="22"/>
        </w:rPr>
        <w:t>Title:</w:t>
      </w:r>
      <w:r w:rsidRPr="00643E3B">
        <w:rPr>
          <w:rFonts w:cs="Arial"/>
          <w:sz w:val="22"/>
        </w:rPr>
        <w:tab/>
      </w:r>
      <w:r w:rsidR="001A4B72">
        <w:rPr>
          <w:sz w:val="22"/>
        </w:rPr>
        <w:t xml:space="preserve">RAN1 </w:t>
      </w:r>
      <w:r w:rsidR="009B505C">
        <w:rPr>
          <w:sz w:val="22"/>
        </w:rPr>
        <w:t>a</w:t>
      </w:r>
      <w:r w:rsidR="001A4B72">
        <w:rPr>
          <w:sz w:val="22"/>
        </w:rPr>
        <w:t>spects of cell DTX/DRX</w:t>
      </w:r>
    </w:p>
    <w:p w14:paraId="1A82D89E" w14:textId="77777777" w:rsidR="00B95395" w:rsidRPr="005D6794" w:rsidRDefault="00B95395" w:rsidP="00B95395">
      <w:pPr>
        <w:pStyle w:val="3GPPHeader"/>
        <w:spacing w:after="0"/>
        <w:rPr>
          <w:rFonts w:cs="Arial"/>
          <w:sz w:val="22"/>
        </w:rPr>
      </w:pPr>
      <w:r w:rsidRPr="00395743">
        <w:rPr>
          <w:rFonts w:cs="Arial"/>
          <w:sz w:val="22"/>
        </w:rPr>
        <w:t>Document for:</w:t>
      </w:r>
      <w:r w:rsidRPr="00395743">
        <w:rPr>
          <w:rFonts w:cs="Arial"/>
          <w:sz w:val="22"/>
        </w:rPr>
        <w:tab/>
        <w:t>Discussion and Decision</w:t>
      </w:r>
    </w:p>
    <w:p w14:paraId="76933F07" w14:textId="77777777" w:rsidR="00424AF4" w:rsidRPr="00395743" w:rsidRDefault="00424AF4" w:rsidP="00424AF4">
      <w:pPr>
        <w:pStyle w:val="Heading1"/>
        <w:rPr>
          <w:rFonts w:cs="Arial"/>
          <w:b/>
          <w:bCs/>
          <w:lang w:val="en-US"/>
        </w:rPr>
      </w:pPr>
      <w:r w:rsidRPr="00395743">
        <w:rPr>
          <w:rFonts w:cs="Arial"/>
          <w:b/>
          <w:bCs/>
          <w:lang w:val="en-US"/>
        </w:rPr>
        <w:t>Introduction</w:t>
      </w:r>
    </w:p>
    <w:p w14:paraId="09E5D945" w14:textId="77777777" w:rsidR="00424AF4" w:rsidRDefault="00424AF4" w:rsidP="00424AF4">
      <w:pPr>
        <w:pStyle w:val="BodyText"/>
      </w:pPr>
      <w:r>
        <w:t xml:space="preserve">In RAN#98e, it was agreed to start a Rel 18 WI on network energy savings, with the following objective for specifying cell DTX/DRX mechanism. </w:t>
      </w:r>
    </w:p>
    <w:p w14:paraId="51CCEAEE" w14:textId="77777777" w:rsidR="00424AF4" w:rsidRPr="00466EB1" w:rsidRDefault="00424AF4" w:rsidP="00424AF4">
      <w:pPr>
        <w:spacing w:after="0"/>
        <w:ind w:left="1040"/>
        <w:rPr>
          <w:rFonts w:ascii="Arial" w:hAnsi="Arial" w:cs="Arial"/>
          <w:bCs/>
          <w:sz w:val="18"/>
          <w:szCs w:val="18"/>
        </w:rPr>
      </w:pPr>
    </w:p>
    <w:p w14:paraId="3D5D9583" w14:textId="77777777" w:rsidR="00424AF4" w:rsidRPr="003162FA" w:rsidRDefault="00424AF4" w:rsidP="00424AF4">
      <w:pPr>
        <w:numPr>
          <w:ilvl w:val="0"/>
          <w:numId w:val="5"/>
        </w:numPr>
        <w:overflowPunct w:val="0"/>
        <w:autoSpaceDE w:val="0"/>
        <w:autoSpaceDN w:val="0"/>
        <w:adjustRightInd w:val="0"/>
        <w:spacing w:after="0" w:line="240" w:lineRule="auto"/>
        <w:textAlignment w:val="baseline"/>
        <w:rPr>
          <w:rFonts w:ascii="Arial" w:hAnsi="Arial" w:cs="Arial"/>
          <w:bCs/>
          <w:i/>
          <w:iCs/>
          <w:sz w:val="18"/>
          <w:szCs w:val="18"/>
          <w:highlight w:val="cyan"/>
        </w:rPr>
      </w:pPr>
      <w:r w:rsidRPr="003162FA">
        <w:rPr>
          <w:rFonts w:ascii="Arial" w:hAnsi="Arial" w:cs="Arial"/>
          <w:bCs/>
          <w:i/>
          <w:iCs/>
          <w:sz w:val="18"/>
          <w:szCs w:val="18"/>
          <w:highlight w:val="cyan"/>
        </w:rPr>
        <w:t>Specify enhancement on cell DTX/DRX mechanism including the alignment of cell DTX/DRX and UE DRX in RRC_CONNECTED mode, and inter-node information exchange on cell DTX/DRX [RAN2, RAN1, RAN3]</w:t>
      </w:r>
    </w:p>
    <w:p w14:paraId="4A3D8F64" w14:textId="77777777" w:rsidR="00424AF4" w:rsidRPr="003162FA" w:rsidRDefault="00424AF4" w:rsidP="00424AF4">
      <w:pPr>
        <w:numPr>
          <w:ilvl w:val="0"/>
          <w:numId w:val="6"/>
        </w:numPr>
        <w:overflowPunct w:val="0"/>
        <w:autoSpaceDE w:val="0"/>
        <w:autoSpaceDN w:val="0"/>
        <w:adjustRightInd w:val="0"/>
        <w:spacing w:beforeLines="50" w:before="120" w:afterLines="50" w:after="120" w:line="240" w:lineRule="auto"/>
        <w:ind w:left="1469" w:hanging="329"/>
        <w:jc w:val="both"/>
        <w:textAlignment w:val="baseline"/>
        <w:rPr>
          <w:rFonts w:ascii="Arial" w:hAnsi="Arial" w:cs="Arial"/>
          <w:bCs/>
          <w:i/>
          <w:iCs/>
          <w:sz w:val="18"/>
          <w:szCs w:val="18"/>
          <w:highlight w:val="cyan"/>
          <w:lang w:eastAsia="zh-CN"/>
        </w:rPr>
      </w:pPr>
      <w:r w:rsidRPr="003162FA">
        <w:rPr>
          <w:rFonts w:ascii="Arial" w:hAnsi="Arial" w:cs="Arial"/>
          <w:bCs/>
          <w:i/>
          <w:iCs/>
          <w:sz w:val="18"/>
          <w:szCs w:val="18"/>
          <w:highlight w:val="cyan"/>
          <w:lang w:eastAsia="zh-CN"/>
        </w:rPr>
        <w:t>Note: No change for SSB transmission due to cell DTX/DRX.</w:t>
      </w:r>
    </w:p>
    <w:p w14:paraId="36B2D023" w14:textId="77777777" w:rsidR="00424AF4" w:rsidRPr="003162FA" w:rsidRDefault="00424AF4" w:rsidP="00424AF4">
      <w:pPr>
        <w:numPr>
          <w:ilvl w:val="0"/>
          <w:numId w:val="6"/>
        </w:numPr>
        <w:overflowPunct w:val="0"/>
        <w:autoSpaceDE w:val="0"/>
        <w:autoSpaceDN w:val="0"/>
        <w:adjustRightInd w:val="0"/>
        <w:spacing w:beforeLines="50" w:before="120" w:afterLines="50" w:after="120" w:line="240" w:lineRule="auto"/>
        <w:ind w:left="1469" w:hanging="329"/>
        <w:jc w:val="both"/>
        <w:textAlignment w:val="baseline"/>
        <w:rPr>
          <w:rFonts w:ascii="Arial" w:hAnsi="Arial" w:cs="Arial"/>
          <w:bCs/>
          <w:i/>
          <w:iCs/>
          <w:sz w:val="18"/>
          <w:szCs w:val="18"/>
          <w:highlight w:val="cyan"/>
          <w:lang w:eastAsia="zh-CN"/>
        </w:rPr>
      </w:pPr>
      <w:r w:rsidRPr="003162FA">
        <w:rPr>
          <w:rFonts w:ascii="Arial" w:hAnsi="Arial" w:cs="Arial"/>
          <w:bCs/>
          <w:i/>
          <w:iCs/>
          <w:sz w:val="18"/>
          <w:szCs w:val="18"/>
          <w:highlight w:val="cyan"/>
          <w:lang w:eastAsia="zh-CN"/>
        </w:rPr>
        <w:t>Note: The impact to IDLE/INACTIVE UEs due to the above enhancement should be avoided.</w:t>
      </w:r>
    </w:p>
    <w:p w14:paraId="04E79C45" w14:textId="77777777" w:rsidR="00424AF4" w:rsidRPr="00AA6024" w:rsidRDefault="00424AF4" w:rsidP="00424AF4">
      <w:pPr>
        <w:overflowPunct w:val="0"/>
        <w:autoSpaceDE w:val="0"/>
        <w:autoSpaceDN w:val="0"/>
        <w:adjustRightInd w:val="0"/>
        <w:spacing w:after="0" w:line="240" w:lineRule="auto"/>
        <w:textAlignment w:val="baseline"/>
        <w:rPr>
          <w:rFonts w:ascii="Arial" w:eastAsia="SimSun" w:hAnsi="Arial" w:cs="Arial"/>
          <w:bCs/>
          <w:lang w:eastAsia="en-GB"/>
        </w:rPr>
      </w:pPr>
    </w:p>
    <w:p w14:paraId="4462B678" w14:textId="77777777" w:rsidR="00424AF4" w:rsidRPr="00AA6024" w:rsidRDefault="00424AF4" w:rsidP="00424AF4">
      <w:pPr>
        <w:overflowPunct w:val="0"/>
        <w:autoSpaceDE w:val="0"/>
        <w:autoSpaceDN w:val="0"/>
        <w:adjustRightInd w:val="0"/>
        <w:spacing w:after="0" w:line="240" w:lineRule="auto"/>
        <w:textAlignment w:val="baseline"/>
        <w:rPr>
          <w:rFonts w:ascii="Arial" w:eastAsia="SimSun" w:hAnsi="Arial" w:cs="Arial"/>
          <w:bCs/>
          <w:lang w:eastAsia="en-GB"/>
        </w:rPr>
      </w:pPr>
    </w:p>
    <w:p w14:paraId="19FEE44D" w14:textId="77777777" w:rsidR="00424AF4" w:rsidRDefault="00424AF4" w:rsidP="00424AF4">
      <w:pPr>
        <w:pStyle w:val="BodyText"/>
      </w:pPr>
      <w:r>
        <w:t xml:space="preserve">In this paper, </w:t>
      </w:r>
      <w:r w:rsidDel="003071A0">
        <w:t xml:space="preserve">we </w:t>
      </w:r>
      <w:r>
        <w:t>discuss the above objective, focusing on RAN1 aspects of cell DTX/DRX.</w:t>
      </w:r>
    </w:p>
    <w:p w14:paraId="6289151E" w14:textId="77777777" w:rsidR="00424AF4" w:rsidRPr="00CD25D2" w:rsidRDefault="00424AF4" w:rsidP="00424AF4">
      <w:pPr>
        <w:pStyle w:val="Heading1"/>
        <w:rPr>
          <w:rFonts w:cs="Arial"/>
          <w:b/>
          <w:bCs/>
          <w:lang w:val="en-US"/>
        </w:rPr>
      </w:pPr>
      <w:r w:rsidRPr="00CD25D2">
        <w:rPr>
          <w:rFonts w:cs="Arial"/>
          <w:b/>
          <w:bCs/>
          <w:lang w:val="en-US"/>
        </w:rPr>
        <w:t>Discussion</w:t>
      </w:r>
    </w:p>
    <w:p w14:paraId="449C6BCF" w14:textId="279A871C" w:rsidR="00424AF4" w:rsidRPr="00263622" w:rsidRDefault="003933C5" w:rsidP="00424AF4">
      <w:pPr>
        <w:pStyle w:val="BodyText"/>
      </w:pPr>
      <w:r>
        <w:t xml:space="preserve">In last two RAN1 meetings, </w:t>
      </w:r>
      <w:r w:rsidR="00424AF4">
        <w:t>RAN1</w:t>
      </w:r>
      <w:r w:rsidR="0058278D">
        <w:t xml:space="preserve"> </w:t>
      </w:r>
      <w:r w:rsidR="00424AF4">
        <w:t>identified a list of candidate channels/signals for which some restrictions may be applied during non-active period of cell DTX/DRX</w:t>
      </w:r>
      <w:r>
        <w:t xml:space="preserve"> and discussed</w:t>
      </w:r>
      <w:r w:rsidR="00424AF4" w:rsidDel="0058278D">
        <w:t xml:space="preserve"> </w:t>
      </w:r>
      <w:r>
        <w:t xml:space="preserve">study and </w:t>
      </w:r>
      <w:r w:rsidR="0058278D">
        <w:t>feasibility of L1 signaling for activation/deactivation of cell DTX/DRX</w:t>
      </w:r>
      <w:r w:rsidR="00424AF4" w:rsidDel="0058278D">
        <w:t xml:space="preserve">. </w:t>
      </w:r>
      <w:r w:rsidR="009B505C">
        <w:t>Some further aspects are discussed in the following.</w:t>
      </w:r>
    </w:p>
    <w:p w14:paraId="461EE681" w14:textId="5C42CC5D" w:rsidR="00D86AAF" w:rsidRDefault="00E32F86" w:rsidP="00D86AAF">
      <w:pPr>
        <w:pStyle w:val="Heading2"/>
      </w:pPr>
      <w:r>
        <w:t>Slots/symbols with SSB</w:t>
      </w:r>
    </w:p>
    <w:p w14:paraId="68EE4A42" w14:textId="77777777" w:rsidR="00D86AAF" w:rsidRDefault="00D86AAF" w:rsidP="00424AF4">
      <w:pPr>
        <w:pStyle w:val="BodyText"/>
      </w:pPr>
    </w:p>
    <w:p w14:paraId="07EF6AE9" w14:textId="77777777" w:rsidR="00D86AAF" w:rsidRDefault="00D86AAF" w:rsidP="00424AF4">
      <w:pPr>
        <w:pStyle w:val="BodyText"/>
      </w:pPr>
      <w:r>
        <w:t xml:space="preserve">In last meeting, below proposal was discussed. </w:t>
      </w:r>
    </w:p>
    <w:p w14:paraId="6F9D3663" w14:textId="77777777" w:rsidR="00D86AAF" w:rsidRPr="00C13A94" w:rsidRDefault="00D86AAF" w:rsidP="00D86AAF">
      <w:pPr>
        <w:pStyle w:val="BodyText"/>
        <w:numPr>
          <w:ilvl w:val="0"/>
          <w:numId w:val="36"/>
        </w:numPr>
        <w:tabs>
          <w:tab w:val="left" w:pos="0"/>
        </w:tabs>
        <w:suppressAutoHyphens/>
        <w:overflowPunct w:val="0"/>
        <w:spacing w:after="0" w:line="252" w:lineRule="auto"/>
        <w:rPr>
          <w:rFonts w:ascii="Times New Roman" w:hAnsi="Times New Roman"/>
          <w:i/>
          <w:iCs/>
          <w:szCs w:val="20"/>
          <w:lang w:eastAsia="ko-KR"/>
        </w:rPr>
      </w:pPr>
      <w:bookmarkStart w:id="1" w:name="_Hlk134623003"/>
      <w:r w:rsidRPr="00C13A94">
        <w:rPr>
          <w:rFonts w:ascii="Times New Roman" w:hAnsi="Times New Roman"/>
          <w:i/>
          <w:iCs/>
          <w:szCs w:val="20"/>
          <w:lang w:eastAsia="ko-KR"/>
        </w:rPr>
        <w:t>OFDM symbols and slot(s) containing SSB are considered part of active period for cell DTX.</w:t>
      </w:r>
    </w:p>
    <w:bookmarkEnd w:id="1"/>
    <w:p w14:paraId="3D92BB03" w14:textId="77777777" w:rsidR="00D86AAF" w:rsidRDefault="00D86AAF" w:rsidP="00424AF4">
      <w:pPr>
        <w:pStyle w:val="BodyText"/>
      </w:pPr>
    </w:p>
    <w:p w14:paraId="5D3D4CC7" w14:textId="1E6C3018" w:rsidR="00D86AAF" w:rsidRDefault="00D86AAF" w:rsidP="00424AF4">
      <w:pPr>
        <w:pStyle w:val="BodyText"/>
        <w:rPr>
          <w:rFonts w:eastAsia="DengXian"/>
          <w:lang w:eastAsia="zh-CN"/>
        </w:rPr>
      </w:pPr>
      <w:r>
        <w:t xml:space="preserve">From NWES perspective, </w:t>
      </w:r>
      <w:r>
        <w:rPr>
          <w:rFonts w:eastAsia="DengXian"/>
          <w:lang w:eastAsia="zh-CN"/>
        </w:rPr>
        <w:t>since gNB is anyway active and transmitting SSB, there is no reason to consider that period as non-active and add unnecessary gNB scheduling restrictions. The gNB should be a</w:t>
      </w:r>
      <w:r w:rsidR="00E32F86">
        <w:rPr>
          <w:rFonts w:eastAsia="DengXian"/>
          <w:lang w:eastAsia="zh-CN"/>
        </w:rPr>
        <w:t xml:space="preserve">ble perform other activity when it is already awake. There would be no impact from UE power saving perspective since a UE would anyway follows its configured C-DRX behavior (i.e. not monitor PDCCH in the active period of cell DTX that overlaps with C-DRX outside active time). </w:t>
      </w:r>
    </w:p>
    <w:p w14:paraId="08AAD53C" w14:textId="77777777" w:rsidR="00E32F86" w:rsidRDefault="00E32F86" w:rsidP="00424AF4">
      <w:pPr>
        <w:pStyle w:val="BodyText"/>
        <w:rPr>
          <w:rFonts w:eastAsia="DengXian"/>
          <w:lang w:eastAsia="zh-CN"/>
        </w:rPr>
      </w:pPr>
    </w:p>
    <w:p w14:paraId="1DA15973" w14:textId="6FDCB17D" w:rsidR="00E32F86" w:rsidRPr="00E32F86" w:rsidRDefault="00E32F86" w:rsidP="000E262C">
      <w:pPr>
        <w:pStyle w:val="Proposal"/>
        <w:numPr>
          <w:ilvl w:val="0"/>
          <w:numId w:val="18"/>
        </w:numPr>
        <w:tabs>
          <w:tab w:val="clear" w:pos="1304"/>
          <w:tab w:val="num" w:pos="4904"/>
        </w:tabs>
        <w:spacing w:line="254" w:lineRule="auto"/>
        <w:ind w:left="1701" w:hanging="1701"/>
        <w:rPr>
          <w:rFonts w:cs="Arial"/>
          <w:lang w:val="en-GB" w:eastAsia="zh-CN"/>
        </w:rPr>
      </w:pPr>
      <w:bookmarkStart w:id="2" w:name="_Toc134997467"/>
      <w:r w:rsidRPr="00E32F86">
        <w:rPr>
          <w:rFonts w:cs="Arial"/>
          <w:lang w:val="en-GB" w:eastAsia="zh-CN"/>
        </w:rPr>
        <w:t>OFDM symbols and slot(s) containing SSB are considered part of active period for cell DTX.</w:t>
      </w:r>
      <w:bookmarkEnd w:id="2"/>
    </w:p>
    <w:p w14:paraId="26F92DBB" w14:textId="77777777" w:rsidR="00E32F86" w:rsidRPr="000E262C" w:rsidRDefault="00E32F86" w:rsidP="00424AF4">
      <w:pPr>
        <w:pStyle w:val="BodyText"/>
        <w:rPr>
          <w:rFonts w:eastAsia="DengXian"/>
          <w:lang w:eastAsia="zh-CN"/>
        </w:rPr>
      </w:pPr>
    </w:p>
    <w:p w14:paraId="1629D2CC" w14:textId="77777777" w:rsidR="00424AF4" w:rsidRDefault="00424AF4" w:rsidP="00424AF4">
      <w:pPr>
        <w:pStyle w:val="Heading2"/>
      </w:pPr>
      <w:r w:rsidRPr="006D5D05">
        <w:t xml:space="preserve">UE behavior during the </w:t>
      </w:r>
      <w:r>
        <w:t>non-active period</w:t>
      </w:r>
      <w:r w:rsidRPr="006D5D05">
        <w:t xml:space="preserve"> of cell DTX/DRX</w:t>
      </w:r>
    </w:p>
    <w:p w14:paraId="5D88A995" w14:textId="77777777" w:rsidR="00424AF4" w:rsidRDefault="00424AF4" w:rsidP="00424AF4">
      <w:pPr>
        <w:pStyle w:val="BodyText"/>
      </w:pPr>
    </w:p>
    <w:p w14:paraId="5EDEB249" w14:textId="77777777" w:rsidR="00424AF4" w:rsidRDefault="00424AF4" w:rsidP="00424AF4">
      <w:pPr>
        <w:pStyle w:val="BodyText"/>
      </w:pPr>
      <w:r w:rsidRPr="003D65B9">
        <w:t xml:space="preserve">Below we </w:t>
      </w:r>
      <w:r>
        <w:t>discuss</w:t>
      </w:r>
      <w:r w:rsidRPr="003D65B9">
        <w:t xml:space="preserve"> </w:t>
      </w:r>
      <w:r>
        <w:t xml:space="preserve">possible restrictions during cell DTX/DRX non-active period, considering the channels/signals identified by RAN1 in last meeting. </w:t>
      </w:r>
    </w:p>
    <w:p w14:paraId="779B367D" w14:textId="77777777" w:rsidR="00424AF4" w:rsidRPr="003162FA" w:rsidRDefault="00424AF4" w:rsidP="00424AF4">
      <w:pPr>
        <w:pStyle w:val="BodyText"/>
        <w:rPr>
          <w:u w:val="single"/>
        </w:rPr>
      </w:pPr>
      <w:r>
        <w:rPr>
          <w:u w:val="single"/>
        </w:rPr>
        <w:lastRenderedPageBreak/>
        <w:t xml:space="preserve">CSI-RS for tracking or </w:t>
      </w:r>
      <w:r w:rsidRPr="003162FA">
        <w:rPr>
          <w:u w:val="single"/>
        </w:rPr>
        <w:t>TRS</w:t>
      </w:r>
    </w:p>
    <w:p w14:paraId="18864F20" w14:textId="262B9070" w:rsidR="00424AF4" w:rsidRDefault="00424AF4" w:rsidP="00424AF4">
      <w:pPr>
        <w:pStyle w:val="BodyText"/>
      </w:pPr>
      <w:r>
        <w:t xml:space="preserve">Regarding TRS, currently, it is transmitted periodically for a UE in connected mode. While TRS is used for several purposes, e.g. a UE may be sleeping and not really using the TRSs transmitted in the cell. </w:t>
      </w:r>
      <w:r w:rsidR="00943CA3">
        <w:t xml:space="preserve">E.g., it is agreed in the last meeting that the UE typically does not monitor dynamic PDCCH grants during the non-active time of </w:t>
      </w:r>
      <w:r w:rsidR="0014695E">
        <w:t xml:space="preserve">cell DTX, and thus transmission of TRS is at least not </w:t>
      </w:r>
      <w:r w:rsidR="00D91A75">
        <w:t>necessary for those UEs</w:t>
      </w:r>
      <w:r w:rsidR="0014695E">
        <w:t xml:space="preserve">. </w:t>
      </w:r>
      <w:r>
        <w:t xml:space="preserve">Then gNB could save energy (~10% savings in some cases) by turning off such transmissions when they are not being utilized in a cell DTX/DRX non-active period. </w:t>
      </w:r>
    </w:p>
    <w:p w14:paraId="73963FE2" w14:textId="77777777" w:rsidR="00424AF4" w:rsidRPr="00022773" w:rsidRDefault="00424AF4" w:rsidP="00424AF4">
      <w:pPr>
        <w:pStyle w:val="Observation"/>
        <w:numPr>
          <w:ilvl w:val="0"/>
          <w:numId w:val="33"/>
        </w:numPr>
        <w:spacing w:line="256" w:lineRule="auto"/>
        <w:ind w:left="1701" w:hanging="1701"/>
        <w:rPr>
          <w:rFonts w:cs="Arial"/>
        </w:rPr>
      </w:pPr>
      <w:bookmarkStart w:id="3" w:name="_Toc134997458"/>
      <w:r w:rsidRPr="00022773">
        <w:rPr>
          <w:rFonts w:cs="Arial"/>
        </w:rPr>
        <w:t xml:space="preserve">Restricting reception of TRS </w:t>
      </w:r>
      <w:r>
        <w:rPr>
          <w:rFonts w:cs="Arial"/>
        </w:rPr>
        <w:t xml:space="preserve">during cell DTX/DRX non-active period </w:t>
      </w:r>
      <w:r w:rsidRPr="00022773">
        <w:rPr>
          <w:rFonts w:cs="Arial"/>
        </w:rPr>
        <w:t>can save NW energy</w:t>
      </w:r>
      <w:r>
        <w:rPr>
          <w:rFonts w:cs="Arial"/>
        </w:rPr>
        <w:t xml:space="preserve"> (e.g. ~ 10% gain).</w:t>
      </w:r>
      <w:bookmarkEnd w:id="3"/>
    </w:p>
    <w:p w14:paraId="661DC952" w14:textId="13E05E06" w:rsidR="00424AF4" w:rsidRDefault="00424AF4" w:rsidP="00424AF4">
      <w:pPr>
        <w:pStyle w:val="BodyText"/>
      </w:pPr>
      <w:r>
        <w:t>It is well-recognized and acknowledged that TRS is needed for performing UE operations such as time/frequency tracking for DL reception. However, selective reception of TRSs where UE can omit receiving TRS in certain known occasions (known to the gNB and UE) can help save gNB energy and not adversely impact UE performance. For example, it can be specified in such a manner that the UE can receive TRS for example, before UE’s C-DRX On duration and before data scheduling</w:t>
      </w:r>
      <w:r w:rsidR="00444109">
        <w:t>.</w:t>
      </w:r>
      <w:r>
        <w:t xml:space="preserve"> </w:t>
      </w:r>
    </w:p>
    <w:p w14:paraId="1FC13152" w14:textId="77777777" w:rsidR="00424AF4" w:rsidRDefault="00424AF4" w:rsidP="00424AF4">
      <w:pPr>
        <w:pStyle w:val="BodyText"/>
      </w:pPr>
      <w:r>
        <w:t xml:space="preserve">In Rel-17, for idle/inactive UEs, support was introduced for L1-based signaling to indicate availability of TRS in TRS occasions.  We note that L1 signaling can be used to turn on/off TRS in TRS occasions for idle/inactive UEs. Thus, we do not see any impact to UEs in Idle/Inactive mode due to selective reception of TRS for connected mode UE during cell DTX/DRX inactive period. </w:t>
      </w:r>
    </w:p>
    <w:p w14:paraId="518DEB28" w14:textId="77777777" w:rsidR="00424AF4" w:rsidRDefault="00424AF4" w:rsidP="00424AF4">
      <w:pPr>
        <w:pStyle w:val="BodyText"/>
      </w:pPr>
      <w:r>
        <w:t xml:space="preserve">Overall, given the potential for gNB energy savings, we think a mechanism should be supported that can work without adversely impacting UE performance. </w:t>
      </w:r>
    </w:p>
    <w:p w14:paraId="4C834B9A" w14:textId="77777777" w:rsidR="00424AF4" w:rsidRPr="00560CBF" w:rsidRDefault="00424AF4" w:rsidP="00424AF4">
      <w:pPr>
        <w:pStyle w:val="Proposal"/>
        <w:numPr>
          <w:ilvl w:val="0"/>
          <w:numId w:val="18"/>
        </w:numPr>
        <w:tabs>
          <w:tab w:val="clear" w:pos="1304"/>
          <w:tab w:val="num" w:pos="4904"/>
        </w:tabs>
        <w:spacing w:line="254" w:lineRule="auto"/>
        <w:ind w:left="1701" w:hanging="1701"/>
        <w:rPr>
          <w:lang w:val="en-CA"/>
        </w:rPr>
      </w:pPr>
      <w:bookmarkStart w:id="4" w:name="_Toc131692872"/>
      <w:bookmarkStart w:id="5" w:name="_Toc134997468"/>
      <w:r>
        <w:rPr>
          <w:rFonts w:cs="Arial"/>
          <w:lang w:val="en-GB" w:eastAsia="zh-CN"/>
        </w:rPr>
        <w:t>Support selective reception of TRS in indicated TRS occasions during non-active period of cell DTX/DRX.</w:t>
      </w:r>
      <w:bookmarkEnd w:id="4"/>
      <w:bookmarkEnd w:id="5"/>
      <w:r>
        <w:rPr>
          <w:rFonts w:cs="Arial"/>
          <w:lang w:val="en-GB" w:eastAsia="zh-CN"/>
        </w:rPr>
        <w:t xml:space="preserve"> </w:t>
      </w:r>
    </w:p>
    <w:p w14:paraId="63F82644" w14:textId="77777777" w:rsidR="00424AF4" w:rsidRDefault="00424AF4" w:rsidP="00424AF4">
      <w:pPr>
        <w:pStyle w:val="Proposal"/>
        <w:numPr>
          <w:ilvl w:val="1"/>
          <w:numId w:val="18"/>
        </w:numPr>
        <w:tabs>
          <w:tab w:val="clear" w:pos="1440"/>
          <w:tab w:val="num" w:pos="1800"/>
        </w:tabs>
        <w:spacing w:line="254" w:lineRule="auto"/>
        <w:ind w:left="1800"/>
        <w:rPr>
          <w:rFonts w:cs="Arial"/>
          <w:lang w:val="en-GB" w:eastAsia="zh-CN"/>
        </w:rPr>
      </w:pPr>
      <w:bookmarkStart w:id="6" w:name="_Toc131692873"/>
      <w:bookmarkStart w:id="7" w:name="_Toc134997469"/>
      <w:r>
        <w:rPr>
          <w:rFonts w:cs="Arial"/>
          <w:lang w:val="en-GB" w:eastAsia="zh-CN"/>
        </w:rPr>
        <w:t>Study further details of indication/occasions, e.g., TRS is received in occasions overlapping with a window before on-duration, before data scheduling, etc.</w:t>
      </w:r>
      <w:bookmarkEnd w:id="6"/>
      <w:bookmarkEnd w:id="7"/>
      <w:r>
        <w:rPr>
          <w:rFonts w:cs="Arial"/>
          <w:lang w:val="en-GB" w:eastAsia="zh-CN"/>
        </w:rPr>
        <w:t xml:space="preserve"> </w:t>
      </w:r>
    </w:p>
    <w:p w14:paraId="055544F4" w14:textId="77777777" w:rsidR="00424AF4" w:rsidRPr="008709F3" w:rsidRDefault="00424AF4" w:rsidP="000E262C">
      <w:pPr>
        <w:pStyle w:val="Proposal"/>
        <w:numPr>
          <w:ilvl w:val="0"/>
          <w:numId w:val="0"/>
        </w:numPr>
        <w:spacing w:line="254" w:lineRule="auto"/>
        <w:ind w:left="1304" w:hanging="1304"/>
        <w:rPr>
          <w:rFonts w:cs="Arial"/>
          <w:lang w:val="en-GB" w:eastAsia="zh-CN"/>
        </w:rPr>
      </w:pPr>
    </w:p>
    <w:p w14:paraId="24372D7F" w14:textId="77777777" w:rsidR="00424AF4" w:rsidRPr="003162FA" w:rsidRDefault="00424AF4" w:rsidP="00424AF4">
      <w:pPr>
        <w:pStyle w:val="BodyText"/>
        <w:rPr>
          <w:u w:val="single"/>
        </w:rPr>
      </w:pPr>
      <w:r w:rsidRPr="003162FA">
        <w:rPr>
          <w:u w:val="single"/>
        </w:rPr>
        <w:t>Positioning Reference Signal (PRS)</w:t>
      </w:r>
    </w:p>
    <w:p w14:paraId="73D92E03" w14:textId="77777777" w:rsidR="00424AF4" w:rsidRPr="00490ED5" w:rsidRDefault="00424AF4" w:rsidP="00424AF4">
      <w:pPr>
        <w:pStyle w:val="BodyText"/>
      </w:pPr>
      <w:r>
        <w:t xml:space="preserve">PRS is transmitted typically for improving positioning accuracy, and idle/inactive UEs may also be using them as well as connected mode UEs that are outside active time in C-DRX. We do not see a strong motivation for restricting PRS during non-active period of cell DTX/DRX. </w:t>
      </w:r>
    </w:p>
    <w:p w14:paraId="0765F192" w14:textId="759FE9E7" w:rsidR="00424AF4" w:rsidRPr="0008540A" w:rsidRDefault="00424AF4" w:rsidP="00424AF4">
      <w:pPr>
        <w:pStyle w:val="Observation"/>
        <w:numPr>
          <w:ilvl w:val="0"/>
          <w:numId w:val="33"/>
        </w:numPr>
        <w:spacing w:line="256" w:lineRule="auto"/>
        <w:ind w:left="1701" w:hanging="1701"/>
        <w:rPr>
          <w:rFonts w:cs="Arial"/>
          <w:lang w:val="en-GB" w:eastAsia="zh-CN"/>
        </w:rPr>
      </w:pPr>
      <w:r w:rsidRPr="00CD3AFA">
        <w:rPr>
          <w:b w:val="0"/>
          <w:bCs w:val="0"/>
          <w:lang w:eastAsia="en-US"/>
        </w:rPr>
        <w:t xml:space="preserve"> </w:t>
      </w:r>
      <w:bookmarkStart w:id="8" w:name="_Toc134997459"/>
      <w:r>
        <w:rPr>
          <w:rFonts w:cs="Arial"/>
        </w:rPr>
        <w:t>PRS may be used also by idle/inactive UEs, and it may not be necessary to restrict PRS reception during non-active period of cell DTX/DRX.</w:t>
      </w:r>
      <w:bookmarkEnd w:id="8"/>
      <w:r>
        <w:rPr>
          <w:rFonts w:cs="Arial"/>
        </w:rPr>
        <w:t xml:space="preserve"> </w:t>
      </w:r>
    </w:p>
    <w:p w14:paraId="09918751" w14:textId="77777777" w:rsidR="0048678F" w:rsidRPr="008E1591" w:rsidRDefault="0048678F" w:rsidP="000E262C">
      <w:pPr>
        <w:pStyle w:val="Observation"/>
        <w:numPr>
          <w:ilvl w:val="0"/>
          <w:numId w:val="0"/>
        </w:numPr>
        <w:spacing w:line="256" w:lineRule="auto"/>
        <w:rPr>
          <w:rFonts w:cs="Arial"/>
          <w:lang w:val="en-GB" w:eastAsia="zh-CN"/>
        </w:rPr>
      </w:pPr>
    </w:p>
    <w:p w14:paraId="08DEDE28" w14:textId="0200F366" w:rsidR="00424AF4" w:rsidRDefault="0048678F" w:rsidP="00424AF4">
      <w:pPr>
        <w:pStyle w:val="BodyText"/>
        <w:rPr>
          <w:u w:val="single"/>
          <w:lang w:val="en-CA"/>
        </w:rPr>
      </w:pPr>
      <w:r w:rsidRPr="000E262C">
        <w:rPr>
          <w:u w:val="single"/>
          <w:lang w:val="en-CA"/>
        </w:rPr>
        <w:t>CSI-RS</w:t>
      </w:r>
    </w:p>
    <w:p w14:paraId="04305061" w14:textId="5994C024" w:rsidR="00482D51" w:rsidRDefault="009A22C0" w:rsidP="00424AF4">
      <w:pPr>
        <w:pStyle w:val="BodyText"/>
      </w:pPr>
      <w:r w:rsidRPr="000E262C">
        <w:t>In the last</w:t>
      </w:r>
      <w:r>
        <w:t xml:space="preserve"> meeting, it was agreed that some CSI-RS particularly related to reporting are not t</w:t>
      </w:r>
      <w:r w:rsidR="00421819">
        <w:t>ransmitted during the non-active time of cell DTX. Few others remained as FFS, e.g., CSI-RS for RRM</w:t>
      </w:r>
      <w:r w:rsidR="00284E44">
        <w:t xml:space="preserve"> or for RLM/BFD or for BM. We should note that all these </w:t>
      </w:r>
      <w:r w:rsidR="00D25FB1">
        <w:t>functions</w:t>
      </w:r>
      <w:r w:rsidR="00284E44">
        <w:t xml:space="preserve"> can be configured to be performed on SSBs</w:t>
      </w:r>
      <w:r w:rsidR="0076364B">
        <w:t xml:space="preserve">. However, if the initial configuration is to perform such measurements based on CSI-RS in some cases to not transmit them during cell DTX/DRX </w:t>
      </w:r>
      <w:r w:rsidR="006A1F2F">
        <w:t>can be problematic for the UEs, e.g., CSI-RS for RRM which is used for L3 measurements</w:t>
      </w:r>
      <w:r w:rsidR="000D67D5">
        <w:t>, and relies on averaging over multiple measurements</w:t>
      </w:r>
      <w:r w:rsidR="000B1756">
        <w:t xml:space="preserve"> which some may fall in the active time of cell DTX while some may fall in the non-active time.</w:t>
      </w:r>
      <w:r w:rsidR="004C4F3F">
        <w:t xml:space="preserve"> As such, we do not see a strong need to restrict these transmissions</w:t>
      </w:r>
      <w:r w:rsidR="00480A5C">
        <w:t xml:space="preserve"> or at least ensure that </w:t>
      </w:r>
      <w:r w:rsidR="00ED2435">
        <w:t>they</w:t>
      </w:r>
      <w:r w:rsidR="00480A5C">
        <w:t xml:space="preserve"> </w:t>
      </w:r>
      <w:r w:rsidR="00ED2435">
        <w:t>can be</w:t>
      </w:r>
      <w:r w:rsidR="00480A5C">
        <w:t xml:space="preserve"> separately con</w:t>
      </w:r>
      <w:r w:rsidR="00ED2435">
        <w:t>figurable</w:t>
      </w:r>
      <w:r w:rsidR="000C5D85">
        <w:t>.</w:t>
      </w:r>
    </w:p>
    <w:p w14:paraId="787991EE" w14:textId="738E3C55" w:rsidR="00133296" w:rsidRPr="00932A03" w:rsidRDefault="009B505C" w:rsidP="00133296">
      <w:pPr>
        <w:pStyle w:val="Observation"/>
        <w:numPr>
          <w:ilvl w:val="0"/>
          <w:numId w:val="33"/>
        </w:numPr>
        <w:spacing w:line="256" w:lineRule="auto"/>
        <w:ind w:left="1701" w:hanging="1701"/>
        <w:rPr>
          <w:rFonts w:cs="Arial"/>
          <w:lang w:val="en-GB" w:eastAsia="zh-CN"/>
        </w:rPr>
      </w:pPr>
      <w:bookmarkStart w:id="9" w:name="_Toc134997460"/>
      <w:r>
        <w:rPr>
          <w:rFonts w:cs="Arial"/>
        </w:rPr>
        <w:t>gNB</w:t>
      </w:r>
      <w:r w:rsidR="00133296">
        <w:rPr>
          <w:rFonts w:cs="Arial"/>
        </w:rPr>
        <w:t xml:space="preserve"> can configure the UE to perform RRM, RLM/BFD, and BM based on SSBs. </w:t>
      </w:r>
      <w:r w:rsidR="000C5D85">
        <w:rPr>
          <w:rFonts w:cs="Arial"/>
        </w:rPr>
        <w:t xml:space="preserve">If CSI-RS based </w:t>
      </w:r>
      <w:r w:rsidR="00480A5C">
        <w:rPr>
          <w:rFonts w:cs="Arial"/>
        </w:rPr>
        <w:t>RRM, RLM</w:t>
      </w:r>
      <w:r w:rsidR="000C5D85">
        <w:rPr>
          <w:rFonts w:cs="Arial"/>
        </w:rPr>
        <w:t xml:space="preserve"> are configured instead, then it may </w:t>
      </w:r>
      <w:r w:rsidR="00DC6EC0">
        <w:rPr>
          <w:rFonts w:cs="Arial"/>
        </w:rPr>
        <w:t xml:space="preserve">not be </w:t>
      </w:r>
      <w:r w:rsidR="00DC6EC0">
        <w:rPr>
          <w:rFonts w:cs="Arial"/>
        </w:rPr>
        <w:lastRenderedPageBreak/>
        <w:t>necessary to restrict their transmission during the non-active time of cell DTX/DRX.</w:t>
      </w:r>
      <w:bookmarkEnd w:id="9"/>
      <w:r w:rsidR="00DC6EC0">
        <w:rPr>
          <w:rFonts w:cs="Arial"/>
        </w:rPr>
        <w:t xml:space="preserve"> </w:t>
      </w:r>
    </w:p>
    <w:p w14:paraId="0DD5A3D2" w14:textId="77777777" w:rsidR="00E420DD" w:rsidRDefault="00E420DD" w:rsidP="00E420DD">
      <w:pPr>
        <w:pStyle w:val="Observation"/>
        <w:numPr>
          <w:ilvl w:val="0"/>
          <w:numId w:val="0"/>
        </w:numPr>
        <w:spacing w:line="256" w:lineRule="auto"/>
        <w:rPr>
          <w:rFonts w:cs="Arial"/>
          <w:lang w:val="en-GB" w:eastAsia="zh-CN"/>
        </w:rPr>
      </w:pPr>
    </w:p>
    <w:p w14:paraId="0251CB8C" w14:textId="3FC6C6AD" w:rsidR="00E420DD" w:rsidRDefault="00747055" w:rsidP="00E420DD">
      <w:pPr>
        <w:pStyle w:val="Proposal"/>
        <w:numPr>
          <w:ilvl w:val="0"/>
          <w:numId w:val="18"/>
        </w:numPr>
        <w:tabs>
          <w:tab w:val="clear" w:pos="1304"/>
          <w:tab w:val="num" w:pos="4904"/>
        </w:tabs>
        <w:spacing w:line="254" w:lineRule="auto"/>
        <w:ind w:left="1701" w:hanging="1701"/>
        <w:rPr>
          <w:rFonts w:cs="Arial"/>
          <w:lang w:val="en-GB" w:eastAsia="zh-CN"/>
        </w:rPr>
      </w:pPr>
      <w:bookmarkStart w:id="10" w:name="_Toc134997470"/>
      <w:r>
        <w:rPr>
          <w:rFonts w:cs="Arial"/>
          <w:lang w:val="en-GB" w:eastAsia="zh-CN"/>
        </w:rPr>
        <w:t>Restriction on UE</w:t>
      </w:r>
      <w:r w:rsidR="005C2416">
        <w:rPr>
          <w:rFonts w:cs="Arial"/>
          <w:lang w:val="en-GB" w:eastAsia="zh-CN"/>
        </w:rPr>
        <w:t xml:space="preserve"> </w:t>
      </w:r>
      <w:r>
        <w:rPr>
          <w:rFonts w:cs="Arial"/>
          <w:lang w:val="en-GB" w:eastAsia="zh-CN"/>
        </w:rPr>
        <w:t>reception</w:t>
      </w:r>
      <w:r w:rsidR="005C2416">
        <w:rPr>
          <w:rFonts w:cs="Arial"/>
          <w:lang w:val="en-GB" w:eastAsia="zh-CN"/>
        </w:rPr>
        <w:t xml:space="preserve"> of CSI-RS </w:t>
      </w:r>
      <w:r w:rsidR="008A2B0E">
        <w:rPr>
          <w:rFonts w:cs="Arial"/>
          <w:lang w:val="en-GB" w:eastAsia="zh-CN"/>
        </w:rPr>
        <w:t xml:space="preserve">for RRM, RLM/BFD, and BM </w:t>
      </w:r>
      <w:r>
        <w:rPr>
          <w:rFonts w:cs="Arial"/>
          <w:lang w:val="en-GB" w:eastAsia="zh-CN"/>
        </w:rPr>
        <w:t>during cell DTX non-active period</w:t>
      </w:r>
      <w:r w:rsidR="003933C5">
        <w:rPr>
          <w:rFonts w:cs="Arial"/>
          <w:lang w:val="en-GB" w:eastAsia="zh-CN"/>
        </w:rPr>
        <w:t>, if supported,</w:t>
      </w:r>
      <w:r>
        <w:rPr>
          <w:rFonts w:cs="Arial"/>
          <w:lang w:val="en-GB" w:eastAsia="zh-CN"/>
        </w:rPr>
        <w:t xml:space="preserve"> </w:t>
      </w:r>
      <w:r w:rsidR="008A2B0E">
        <w:rPr>
          <w:rFonts w:cs="Arial"/>
          <w:lang w:val="en-GB" w:eastAsia="zh-CN"/>
        </w:rPr>
        <w:t xml:space="preserve">can be </w:t>
      </w:r>
      <w:r>
        <w:rPr>
          <w:rFonts w:cs="Arial"/>
          <w:lang w:val="en-GB" w:eastAsia="zh-CN"/>
        </w:rPr>
        <w:t xml:space="preserve">separately </w:t>
      </w:r>
      <w:r w:rsidR="008A2B0E">
        <w:rPr>
          <w:rFonts w:cs="Arial"/>
          <w:lang w:val="en-GB" w:eastAsia="zh-CN"/>
        </w:rPr>
        <w:t xml:space="preserve">configured by </w:t>
      </w:r>
      <w:r>
        <w:rPr>
          <w:rFonts w:cs="Arial"/>
          <w:lang w:val="en-GB" w:eastAsia="zh-CN"/>
        </w:rPr>
        <w:t>higher layers</w:t>
      </w:r>
      <w:r w:rsidR="00E420DD" w:rsidRPr="004115B8">
        <w:rPr>
          <w:rFonts w:cs="Arial"/>
          <w:lang w:val="en-GB" w:eastAsia="zh-CN"/>
        </w:rPr>
        <w:t>.</w:t>
      </w:r>
      <w:bookmarkEnd w:id="10"/>
    </w:p>
    <w:p w14:paraId="68FD5F59" w14:textId="06AAFC63" w:rsidR="00424AF4" w:rsidRDefault="00424AF4" w:rsidP="00424AF4">
      <w:pPr>
        <w:pStyle w:val="Heading2"/>
      </w:pPr>
      <w:r>
        <w:t>L1/L2 signaling for</w:t>
      </w:r>
      <w:r w:rsidRPr="006D5D05">
        <w:t xml:space="preserve"> cell DTX/DRX</w:t>
      </w:r>
    </w:p>
    <w:p w14:paraId="5B3FC9B9" w14:textId="1CE4D13F" w:rsidR="00424AF4" w:rsidRDefault="00424AF4" w:rsidP="00424AF4">
      <w:pPr>
        <w:jc w:val="both"/>
        <w:rPr>
          <w:rFonts w:ascii="Arial" w:hAnsi="Arial"/>
        </w:rPr>
      </w:pPr>
    </w:p>
    <w:p w14:paraId="7331CF8F" w14:textId="21E1F11D" w:rsidR="006C3D60" w:rsidRDefault="00610666" w:rsidP="000E262C">
      <w:pPr>
        <w:jc w:val="both"/>
        <w:rPr>
          <w:rFonts w:ascii="Arial" w:hAnsi="Arial"/>
        </w:rPr>
      </w:pPr>
      <w:r>
        <w:rPr>
          <w:rFonts w:ascii="Arial" w:hAnsi="Arial"/>
        </w:rPr>
        <w:t xml:space="preserve">RAN1 made a working assumption and a list of study </w:t>
      </w:r>
      <w:r w:rsidR="009B505C">
        <w:rPr>
          <w:rFonts w:ascii="Arial" w:hAnsi="Arial"/>
        </w:rPr>
        <w:t xml:space="preserve">aspects </w:t>
      </w:r>
      <w:r>
        <w:rPr>
          <w:rFonts w:ascii="Arial" w:hAnsi="Arial"/>
        </w:rPr>
        <w:t xml:space="preserve">for L1 signaling in RAN1#112-bis-e. </w:t>
      </w:r>
      <w:r w:rsidR="006C3D60">
        <w:rPr>
          <w:rFonts w:ascii="Arial" w:hAnsi="Arial"/>
        </w:rPr>
        <w:t xml:space="preserve">RAN2 has </w:t>
      </w:r>
      <w:r w:rsidR="009B505C">
        <w:rPr>
          <w:rFonts w:ascii="Arial" w:hAnsi="Arial"/>
        </w:rPr>
        <w:t xml:space="preserve">further </w:t>
      </w:r>
      <w:r w:rsidR="006C3D60">
        <w:rPr>
          <w:rFonts w:ascii="Arial" w:hAnsi="Arial"/>
        </w:rPr>
        <w:t xml:space="preserve">sent an LS </w:t>
      </w:r>
      <w:r w:rsidR="006C3D60">
        <w:rPr>
          <w:rFonts w:ascii="Arial" w:hAnsi="Arial" w:cs="Arial"/>
          <w:bCs/>
        </w:rPr>
        <w:t>on Cell DTX/DRX activation/deactivation</w:t>
      </w:r>
      <w:r w:rsidR="007F6065">
        <w:rPr>
          <w:rFonts w:ascii="Arial" w:hAnsi="Arial" w:cs="Arial"/>
          <w:bCs/>
        </w:rPr>
        <w:t xml:space="preserve"> [2]</w:t>
      </w:r>
      <w:r>
        <w:rPr>
          <w:rFonts w:ascii="Arial" w:hAnsi="Arial" w:cs="Arial"/>
          <w:bCs/>
        </w:rPr>
        <w:t xml:space="preserve"> asking about feasibility, reliability of L1 signaling and also asks RAN1 to inform RAN2 of RAN1’s decision and design details</w:t>
      </w:r>
      <w:r w:rsidR="00206CBD">
        <w:rPr>
          <w:rFonts w:ascii="Arial" w:hAnsi="Arial"/>
        </w:rPr>
        <w:t>.</w:t>
      </w:r>
      <w:r>
        <w:rPr>
          <w:rFonts w:ascii="Arial" w:hAnsi="Arial"/>
        </w:rPr>
        <w:t xml:space="preserve"> </w:t>
      </w:r>
    </w:p>
    <w:p w14:paraId="0064687F" w14:textId="6E9008C7" w:rsidR="00424AF4" w:rsidRDefault="00424AF4" w:rsidP="00424AF4">
      <w:pPr>
        <w:jc w:val="both"/>
        <w:rPr>
          <w:rFonts w:ascii="Arial" w:hAnsi="Arial"/>
        </w:rPr>
      </w:pPr>
      <w:r>
        <w:rPr>
          <w:rFonts w:ascii="Arial" w:hAnsi="Arial"/>
        </w:rPr>
        <w:t xml:space="preserve">If explicit L1 or DCI based signaling is used to activate and deactivate cell DTX/DRX, the mechanism needs to be at least robust and reliable to reduce misalignments between UEs and the gNB. </w:t>
      </w:r>
    </w:p>
    <w:p w14:paraId="270983B0" w14:textId="7D8CCE81" w:rsidR="00424AF4" w:rsidRPr="008F74C8" w:rsidRDefault="00424AF4" w:rsidP="00424AF4">
      <w:pPr>
        <w:jc w:val="both"/>
        <w:rPr>
          <w:rFonts w:ascii="Arial" w:hAnsi="Arial"/>
          <w:u w:val="single"/>
        </w:rPr>
      </w:pPr>
      <w:r w:rsidRPr="008F74C8">
        <w:rPr>
          <w:rFonts w:ascii="Arial" w:hAnsi="Arial"/>
          <w:u w:val="single"/>
        </w:rPr>
        <w:t xml:space="preserve">Example </w:t>
      </w:r>
      <w:r w:rsidR="00610666">
        <w:rPr>
          <w:rFonts w:ascii="Arial" w:hAnsi="Arial"/>
          <w:u w:val="single"/>
        </w:rPr>
        <w:t xml:space="preserve">1 </w:t>
      </w:r>
      <w:r w:rsidRPr="008F74C8">
        <w:rPr>
          <w:rFonts w:ascii="Arial" w:hAnsi="Arial"/>
          <w:u w:val="single"/>
        </w:rPr>
        <w:t>misalignment</w:t>
      </w:r>
      <w:r>
        <w:rPr>
          <w:rFonts w:ascii="Arial" w:hAnsi="Arial"/>
          <w:u w:val="single"/>
        </w:rPr>
        <w:t xml:space="preserve"> between UE and gNB due to missed DCI</w:t>
      </w:r>
      <w:r w:rsidRPr="008F74C8">
        <w:rPr>
          <w:rFonts w:ascii="Arial" w:hAnsi="Arial"/>
          <w:u w:val="single"/>
        </w:rPr>
        <w:t xml:space="preserve"> </w:t>
      </w:r>
    </w:p>
    <w:p w14:paraId="330DCF95" w14:textId="77777777" w:rsidR="00424AF4" w:rsidRPr="00643799" w:rsidRDefault="00424AF4" w:rsidP="00424AF4">
      <w:pPr>
        <w:pStyle w:val="ListParagraph"/>
        <w:numPr>
          <w:ilvl w:val="0"/>
          <w:numId w:val="34"/>
        </w:numPr>
        <w:spacing w:after="0" w:line="240" w:lineRule="auto"/>
        <w:jc w:val="both"/>
        <w:rPr>
          <w:rFonts w:ascii="Arial" w:hAnsi="Arial"/>
        </w:rPr>
      </w:pPr>
      <w:r w:rsidRPr="00643799">
        <w:rPr>
          <w:rFonts w:ascii="Arial" w:hAnsi="Arial"/>
        </w:rPr>
        <w:t xml:space="preserve">Cell DTX/DRX is activated, while UE assumes cell DTX/DRX is not activated. The UE may transmit SR (assuming cell is always active) and does not see a response from gNB (since cell may be non-active), after a few tries it </w:t>
      </w:r>
      <w:r>
        <w:rPr>
          <w:rFonts w:ascii="Arial" w:hAnsi="Arial"/>
        </w:rPr>
        <w:t>may</w:t>
      </w:r>
      <w:r w:rsidRPr="00643799">
        <w:rPr>
          <w:rFonts w:ascii="Arial" w:hAnsi="Arial"/>
        </w:rPr>
        <w:t xml:space="preserve"> declare RLF.  </w:t>
      </w:r>
    </w:p>
    <w:p w14:paraId="6C67BDEB" w14:textId="77777777" w:rsidR="007F6065" w:rsidRDefault="007F6065" w:rsidP="007F6065">
      <w:pPr>
        <w:jc w:val="both"/>
        <w:rPr>
          <w:rFonts w:ascii="Arial" w:hAnsi="Arial"/>
          <w:u w:val="single"/>
        </w:rPr>
      </w:pPr>
    </w:p>
    <w:p w14:paraId="38B0532D" w14:textId="604C5BB9" w:rsidR="007F6065" w:rsidRPr="008F74C8" w:rsidRDefault="007F6065" w:rsidP="007F6065">
      <w:pPr>
        <w:jc w:val="both"/>
        <w:rPr>
          <w:rFonts w:ascii="Arial" w:hAnsi="Arial"/>
          <w:u w:val="single"/>
        </w:rPr>
      </w:pPr>
      <w:r w:rsidRPr="008F74C8">
        <w:rPr>
          <w:rFonts w:ascii="Arial" w:hAnsi="Arial"/>
          <w:u w:val="single"/>
        </w:rPr>
        <w:t xml:space="preserve">Example </w:t>
      </w:r>
      <w:r>
        <w:rPr>
          <w:rFonts w:ascii="Arial" w:hAnsi="Arial"/>
          <w:u w:val="single"/>
        </w:rPr>
        <w:t xml:space="preserve">2 </w:t>
      </w:r>
      <w:r w:rsidRPr="008F74C8">
        <w:rPr>
          <w:rFonts w:ascii="Arial" w:hAnsi="Arial"/>
          <w:u w:val="single"/>
        </w:rPr>
        <w:t>misalignment</w:t>
      </w:r>
      <w:r>
        <w:rPr>
          <w:rFonts w:ascii="Arial" w:hAnsi="Arial"/>
          <w:u w:val="single"/>
        </w:rPr>
        <w:t xml:space="preserve"> between UE and gNB due to missed DCI</w:t>
      </w:r>
      <w:r w:rsidRPr="008F74C8">
        <w:rPr>
          <w:rFonts w:ascii="Arial" w:hAnsi="Arial"/>
          <w:u w:val="single"/>
        </w:rPr>
        <w:t xml:space="preserve"> </w:t>
      </w:r>
    </w:p>
    <w:p w14:paraId="5F73CA33" w14:textId="45213499" w:rsidR="007F6065" w:rsidRPr="00643799" w:rsidRDefault="007F6065" w:rsidP="007F6065">
      <w:pPr>
        <w:pStyle w:val="ListParagraph"/>
        <w:numPr>
          <w:ilvl w:val="0"/>
          <w:numId w:val="34"/>
        </w:numPr>
        <w:jc w:val="both"/>
        <w:rPr>
          <w:rFonts w:ascii="Arial" w:hAnsi="Arial"/>
        </w:rPr>
      </w:pPr>
      <w:r w:rsidRPr="00643799">
        <w:rPr>
          <w:rFonts w:ascii="Arial" w:hAnsi="Arial"/>
        </w:rPr>
        <w:t xml:space="preserve">Cell DTX/DRX is </w:t>
      </w:r>
      <w:r>
        <w:rPr>
          <w:rFonts w:ascii="Arial" w:hAnsi="Arial"/>
        </w:rPr>
        <w:t xml:space="preserve">not </w:t>
      </w:r>
      <w:r w:rsidRPr="00643799">
        <w:rPr>
          <w:rFonts w:ascii="Arial" w:hAnsi="Arial"/>
        </w:rPr>
        <w:t xml:space="preserve">activated, while UE assumes cell DTX/DRX is activated. The UE </w:t>
      </w:r>
      <w:r>
        <w:rPr>
          <w:rFonts w:ascii="Arial" w:hAnsi="Arial"/>
        </w:rPr>
        <w:t>stops listening/responding</w:t>
      </w:r>
      <w:r w:rsidRPr="00643799">
        <w:rPr>
          <w:rFonts w:ascii="Arial" w:hAnsi="Arial"/>
        </w:rPr>
        <w:t xml:space="preserve"> </w:t>
      </w:r>
      <w:r>
        <w:rPr>
          <w:rFonts w:ascii="Arial" w:hAnsi="Arial"/>
        </w:rPr>
        <w:t>to</w:t>
      </w:r>
      <w:r w:rsidRPr="00643799">
        <w:rPr>
          <w:rFonts w:ascii="Arial" w:hAnsi="Arial"/>
        </w:rPr>
        <w:t xml:space="preserve"> gNB (</w:t>
      </w:r>
      <w:r>
        <w:rPr>
          <w:rFonts w:ascii="Arial" w:hAnsi="Arial"/>
        </w:rPr>
        <w:t>even when the cell is fully active</w:t>
      </w:r>
      <w:r w:rsidRPr="00643799">
        <w:rPr>
          <w:rFonts w:ascii="Arial" w:hAnsi="Arial"/>
        </w:rPr>
        <w:t>)</w:t>
      </w:r>
      <w:r>
        <w:rPr>
          <w:rFonts w:ascii="Arial" w:hAnsi="Arial"/>
        </w:rPr>
        <w:t xml:space="preserve">, impacting performance/throughput </w:t>
      </w:r>
      <w:r w:rsidR="00610666">
        <w:rPr>
          <w:rFonts w:ascii="Arial" w:hAnsi="Arial"/>
        </w:rPr>
        <w:t>and causing link problems</w:t>
      </w:r>
      <w:r>
        <w:rPr>
          <w:rFonts w:ascii="Arial" w:hAnsi="Arial"/>
        </w:rPr>
        <w:t xml:space="preserve">. </w:t>
      </w:r>
    </w:p>
    <w:p w14:paraId="640AAD09" w14:textId="309ED6A9" w:rsidR="00424AF4" w:rsidRDefault="00424AF4" w:rsidP="00424AF4">
      <w:pPr>
        <w:jc w:val="both"/>
        <w:rPr>
          <w:rFonts w:ascii="Arial" w:hAnsi="Arial"/>
        </w:rPr>
      </w:pPr>
      <w:r>
        <w:rPr>
          <w:rFonts w:ascii="Arial" w:hAnsi="Arial"/>
        </w:rPr>
        <w:t>Above example</w:t>
      </w:r>
      <w:r w:rsidR="009B505C">
        <w:rPr>
          <w:rFonts w:ascii="Arial" w:hAnsi="Arial"/>
        </w:rPr>
        <w:t>s</w:t>
      </w:r>
      <w:r>
        <w:rPr>
          <w:rFonts w:ascii="Arial" w:hAnsi="Arial"/>
        </w:rPr>
        <w:t xml:space="preserve"> show that misalignment could lead to undesirable impacts. </w:t>
      </w:r>
    </w:p>
    <w:p w14:paraId="489645BD" w14:textId="2D825908" w:rsidR="00424AF4" w:rsidRPr="00747055" w:rsidRDefault="00D25FB1" w:rsidP="00747055">
      <w:pPr>
        <w:pStyle w:val="Observation"/>
        <w:numPr>
          <w:ilvl w:val="0"/>
          <w:numId w:val="33"/>
        </w:numPr>
        <w:spacing w:line="256" w:lineRule="auto"/>
        <w:ind w:left="1701" w:hanging="1701"/>
        <w:rPr>
          <w:rFonts w:cs="Arial"/>
        </w:rPr>
      </w:pPr>
      <w:bookmarkStart w:id="11" w:name="_Toc134997461"/>
      <w:r w:rsidRPr="00435185">
        <w:rPr>
          <w:rFonts w:cs="Arial"/>
        </w:rPr>
        <w:t>For</w:t>
      </w:r>
      <w:r w:rsidR="00424AF4" w:rsidRPr="00435185">
        <w:rPr>
          <w:rFonts w:cs="Arial"/>
        </w:rPr>
        <w:t xml:space="preserve"> L1 based activation/deactivation of cell DTX/DRX, mechanisms </w:t>
      </w:r>
      <w:r w:rsidRPr="00435185">
        <w:rPr>
          <w:rFonts w:cs="Arial"/>
        </w:rPr>
        <w:t xml:space="preserve">to </w:t>
      </w:r>
      <w:r w:rsidR="00424AF4" w:rsidRPr="00435185">
        <w:rPr>
          <w:rFonts w:cs="Arial"/>
        </w:rPr>
        <w:t>address UE and gNB misalignment issue need to be considered.</w:t>
      </w:r>
      <w:bookmarkEnd w:id="11"/>
      <w:r w:rsidR="00424AF4" w:rsidRPr="00435185">
        <w:rPr>
          <w:rFonts w:cs="Arial"/>
        </w:rPr>
        <w:t xml:space="preserve"> </w:t>
      </w:r>
    </w:p>
    <w:p w14:paraId="36072DEF" w14:textId="4106D99F" w:rsidR="005C7985" w:rsidRDefault="00C243CD" w:rsidP="00C243CD">
      <w:pPr>
        <w:jc w:val="both"/>
        <w:rPr>
          <w:rFonts w:ascii="Arial" w:hAnsi="Arial"/>
        </w:rPr>
      </w:pPr>
      <w:bookmarkStart w:id="12" w:name="_Toc131694397"/>
      <w:bookmarkStart w:id="13" w:name="_Toc131694398"/>
      <w:bookmarkEnd w:id="12"/>
      <w:bookmarkEnd w:id="13"/>
      <w:r w:rsidRPr="000E262C">
        <w:rPr>
          <w:rFonts w:ascii="Arial" w:hAnsi="Arial"/>
        </w:rPr>
        <w:t>As</w:t>
      </w:r>
      <w:r>
        <w:rPr>
          <w:rFonts w:ascii="Arial" w:hAnsi="Arial"/>
        </w:rPr>
        <w:t xml:space="preserve"> raised in the agreements from the last meeting, DCI </w:t>
      </w:r>
      <w:r w:rsidR="009B505C">
        <w:rPr>
          <w:rFonts w:ascii="Arial" w:hAnsi="Arial"/>
        </w:rPr>
        <w:t xml:space="preserve">for activation/deactivation </w:t>
      </w:r>
      <w:r>
        <w:rPr>
          <w:rFonts w:ascii="Arial" w:hAnsi="Arial"/>
        </w:rPr>
        <w:t xml:space="preserve">can be UE specific, or group common. </w:t>
      </w:r>
    </w:p>
    <w:p w14:paraId="085281CD" w14:textId="46BB374A" w:rsidR="00566795" w:rsidRPr="00747055" w:rsidRDefault="00566795" w:rsidP="00566795">
      <w:pPr>
        <w:jc w:val="both"/>
        <w:rPr>
          <w:rFonts w:ascii="Arial" w:hAnsi="Arial"/>
        </w:rPr>
      </w:pPr>
      <w:bookmarkStart w:id="14" w:name="_Hlk134890066"/>
      <w:r w:rsidRPr="00566795">
        <w:rPr>
          <w:rFonts w:ascii="Arial" w:hAnsi="Arial"/>
        </w:rPr>
        <w:t>UE specific DCI can be designed based on a legacy DCI, e.g., a scheduling DCI, and as such can come with A/N feedback which can ensure both gNB and the UE stay aligned on cell DTX/DRX activation/deactivation setting.</w:t>
      </w:r>
      <w:r w:rsidR="0031542B">
        <w:rPr>
          <w:rFonts w:ascii="Arial" w:hAnsi="Arial"/>
        </w:rPr>
        <w:t xml:space="preserve"> </w:t>
      </w:r>
      <w:bookmarkEnd w:id="14"/>
      <w:r w:rsidR="0031542B">
        <w:rPr>
          <w:rFonts w:ascii="Arial" w:hAnsi="Arial"/>
        </w:rPr>
        <w:t xml:space="preserve">UE specific DCI can </w:t>
      </w:r>
      <w:r w:rsidR="005C7985">
        <w:rPr>
          <w:rFonts w:ascii="Arial" w:hAnsi="Arial"/>
        </w:rPr>
        <w:t xml:space="preserve">increase </w:t>
      </w:r>
      <w:r w:rsidR="0031542B">
        <w:rPr>
          <w:rFonts w:ascii="Arial" w:hAnsi="Arial"/>
        </w:rPr>
        <w:t>overhead for the NW</w:t>
      </w:r>
      <w:r w:rsidR="0091605C">
        <w:rPr>
          <w:rFonts w:ascii="Arial" w:hAnsi="Arial"/>
        </w:rPr>
        <w:t xml:space="preserve"> if individual UEs have</w:t>
      </w:r>
      <w:r w:rsidR="003933C5">
        <w:rPr>
          <w:rFonts w:ascii="Arial" w:hAnsi="Arial"/>
        </w:rPr>
        <w:t xml:space="preserve"> </w:t>
      </w:r>
      <w:r w:rsidR="0091605C">
        <w:rPr>
          <w:rFonts w:ascii="Arial" w:hAnsi="Arial"/>
        </w:rPr>
        <w:t xml:space="preserve">to be addressed separately. On the other hand, it allows NW flexibility to signal activation/deactivation change for a subset of UEs or when such UEs are scheduled. </w:t>
      </w:r>
      <w:r>
        <w:rPr>
          <w:rFonts w:ascii="Arial" w:hAnsi="Arial"/>
        </w:rPr>
        <w:t xml:space="preserve">Overhead can be reduced </w:t>
      </w:r>
      <w:r w:rsidR="00610666">
        <w:rPr>
          <w:rFonts w:ascii="Arial" w:hAnsi="Arial"/>
        </w:rPr>
        <w:t>by</w:t>
      </w:r>
      <w:r>
        <w:rPr>
          <w:rFonts w:ascii="Arial" w:hAnsi="Arial"/>
        </w:rPr>
        <w:t xml:space="preserve"> signaling </w:t>
      </w:r>
      <w:r w:rsidR="00610666">
        <w:rPr>
          <w:rFonts w:ascii="Arial" w:hAnsi="Arial"/>
        </w:rPr>
        <w:t>on</w:t>
      </w:r>
      <w:r>
        <w:rPr>
          <w:rFonts w:ascii="Arial" w:hAnsi="Arial"/>
        </w:rPr>
        <w:t xml:space="preserve"> per group of cells</w:t>
      </w:r>
      <w:r w:rsidR="00610666">
        <w:rPr>
          <w:rFonts w:ascii="Arial" w:hAnsi="Arial"/>
        </w:rPr>
        <w:t xml:space="preserve"> (for CA case) basis </w:t>
      </w:r>
      <w:r>
        <w:rPr>
          <w:rFonts w:ascii="Arial" w:hAnsi="Arial"/>
        </w:rPr>
        <w:t xml:space="preserve">via scheduling DCI (like Case 1 and Case 2 </w:t>
      </w:r>
      <w:r w:rsidR="00610666">
        <w:rPr>
          <w:rFonts w:ascii="Arial" w:hAnsi="Arial"/>
        </w:rPr>
        <w:t xml:space="preserve">SCell </w:t>
      </w:r>
      <w:r>
        <w:rPr>
          <w:rFonts w:ascii="Arial" w:hAnsi="Arial"/>
        </w:rPr>
        <w:t xml:space="preserve">dormancy). </w:t>
      </w:r>
    </w:p>
    <w:p w14:paraId="47A6FE1B" w14:textId="42E4697F" w:rsidR="000C3AA5" w:rsidRDefault="008F102C" w:rsidP="005C7985">
      <w:pPr>
        <w:jc w:val="both"/>
        <w:rPr>
          <w:rFonts w:ascii="Arial" w:hAnsi="Arial"/>
        </w:rPr>
      </w:pPr>
      <w:bookmarkStart w:id="15" w:name="_Hlk134890291"/>
      <w:r w:rsidRPr="008F102C">
        <w:rPr>
          <w:rFonts w:ascii="Arial" w:hAnsi="Arial"/>
        </w:rPr>
        <w:t xml:space="preserve">Group-common DCI </w:t>
      </w:r>
      <w:r w:rsidR="009B505C">
        <w:rPr>
          <w:rFonts w:ascii="Arial" w:hAnsi="Arial"/>
        </w:rPr>
        <w:t xml:space="preserve">(GC-DCI) </w:t>
      </w:r>
      <w:r w:rsidRPr="008F102C">
        <w:rPr>
          <w:rFonts w:ascii="Arial" w:hAnsi="Arial"/>
        </w:rPr>
        <w:t xml:space="preserve">which is typically designed based on a DCI 2-x design has no explicit feedback from the UE. Thus, if gNB configures GC-DCI for several UEs, and if some UEs miss the DCI, there would be misalignment between UE and gNB on cell DTX/DRX activation/deactivation setting. This can become costly </w:t>
      </w:r>
      <w:r w:rsidR="00610666">
        <w:rPr>
          <w:rFonts w:ascii="Arial" w:hAnsi="Arial"/>
        </w:rPr>
        <w:t>as</w:t>
      </w:r>
      <w:r w:rsidR="000C3AA5">
        <w:rPr>
          <w:rFonts w:ascii="Arial" w:hAnsi="Arial"/>
        </w:rPr>
        <w:t xml:space="preserve"> </w:t>
      </w:r>
      <w:r w:rsidR="00610666">
        <w:rPr>
          <w:rFonts w:ascii="Arial" w:hAnsi="Arial"/>
        </w:rPr>
        <w:t>the</w:t>
      </w:r>
      <w:r w:rsidR="000C3AA5">
        <w:rPr>
          <w:rFonts w:ascii="Arial" w:hAnsi="Arial"/>
        </w:rPr>
        <w:t xml:space="preserve"> </w:t>
      </w:r>
      <w:r w:rsidR="00610666">
        <w:rPr>
          <w:rFonts w:ascii="Arial" w:hAnsi="Arial"/>
        </w:rPr>
        <w:t>misalignment</w:t>
      </w:r>
      <w:r w:rsidR="000C3AA5">
        <w:rPr>
          <w:rFonts w:ascii="Arial" w:hAnsi="Arial"/>
        </w:rPr>
        <w:t xml:space="preserve"> between UE and gNB can last for a long while</w:t>
      </w:r>
      <w:r w:rsidR="00326E79">
        <w:rPr>
          <w:rFonts w:ascii="Arial" w:hAnsi="Arial"/>
        </w:rPr>
        <w:t xml:space="preserve"> </w:t>
      </w:r>
      <w:r w:rsidR="00610666">
        <w:rPr>
          <w:rFonts w:ascii="Arial" w:hAnsi="Arial"/>
        </w:rPr>
        <w:t>because the</w:t>
      </w:r>
      <w:r w:rsidR="00326E79">
        <w:rPr>
          <w:rFonts w:ascii="Arial" w:hAnsi="Arial"/>
        </w:rPr>
        <w:t xml:space="preserve"> cell status change may persist for longer durations</w:t>
      </w:r>
      <w:r w:rsidRPr="008F102C">
        <w:rPr>
          <w:rFonts w:ascii="Arial" w:hAnsi="Arial"/>
        </w:rPr>
        <w:t xml:space="preserve">. </w:t>
      </w:r>
    </w:p>
    <w:p w14:paraId="67C2C77A" w14:textId="4148EF56" w:rsidR="005C7985" w:rsidRDefault="00F47102" w:rsidP="005C7985">
      <w:pPr>
        <w:jc w:val="both"/>
        <w:rPr>
          <w:rFonts w:ascii="Arial" w:hAnsi="Arial"/>
        </w:rPr>
      </w:pPr>
      <w:r>
        <w:rPr>
          <w:rFonts w:ascii="Arial" w:hAnsi="Arial"/>
        </w:rPr>
        <w:t xml:space="preserve">As such it is important to make sure the signaling remains </w:t>
      </w:r>
      <w:r w:rsidR="0090371D">
        <w:rPr>
          <w:rFonts w:ascii="Arial" w:hAnsi="Arial"/>
        </w:rPr>
        <w:t xml:space="preserve">robust. </w:t>
      </w:r>
      <w:bookmarkEnd w:id="15"/>
      <w:r w:rsidR="0090371D">
        <w:rPr>
          <w:rFonts w:ascii="Arial" w:hAnsi="Arial"/>
        </w:rPr>
        <w:t xml:space="preserve">E.g., in MBS, a feedback mechanism is developed for group common data transmission, similar or enhanced methods </w:t>
      </w:r>
      <w:r w:rsidR="00E82AC5">
        <w:rPr>
          <w:rFonts w:ascii="Arial" w:hAnsi="Arial"/>
        </w:rPr>
        <w:t xml:space="preserve">would have to </w:t>
      </w:r>
      <w:r w:rsidR="0090371D">
        <w:rPr>
          <w:rFonts w:ascii="Arial" w:hAnsi="Arial"/>
        </w:rPr>
        <w:t xml:space="preserve">be </w:t>
      </w:r>
      <w:r w:rsidR="008F102C">
        <w:rPr>
          <w:rFonts w:ascii="Arial" w:hAnsi="Arial"/>
        </w:rPr>
        <w:t xml:space="preserve">designed </w:t>
      </w:r>
      <w:r w:rsidR="0090371D">
        <w:rPr>
          <w:rFonts w:ascii="Arial" w:hAnsi="Arial"/>
        </w:rPr>
        <w:t xml:space="preserve">here to make </w:t>
      </w:r>
      <w:r w:rsidR="00FC625A">
        <w:rPr>
          <w:rFonts w:ascii="Arial" w:hAnsi="Arial"/>
        </w:rPr>
        <w:t xml:space="preserve">group common </w:t>
      </w:r>
      <w:r w:rsidR="00F67446">
        <w:rPr>
          <w:rFonts w:ascii="Arial" w:hAnsi="Arial"/>
        </w:rPr>
        <w:t xml:space="preserve">DCI based </w:t>
      </w:r>
      <w:r w:rsidR="00FC625A">
        <w:rPr>
          <w:rFonts w:ascii="Arial" w:hAnsi="Arial"/>
        </w:rPr>
        <w:t xml:space="preserve">activation deactivation robust. </w:t>
      </w:r>
      <w:r w:rsidR="00F67446">
        <w:rPr>
          <w:rFonts w:ascii="Arial" w:hAnsi="Arial"/>
        </w:rPr>
        <w:t xml:space="preserve">However, from gNB perspective, this </w:t>
      </w:r>
      <w:r w:rsidR="000C3AA5">
        <w:rPr>
          <w:rFonts w:ascii="Arial" w:hAnsi="Arial"/>
        </w:rPr>
        <w:t>might</w:t>
      </w:r>
      <w:r w:rsidR="00F67446">
        <w:rPr>
          <w:rFonts w:ascii="Arial" w:hAnsi="Arial"/>
        </w:rPr>
        <w:t xml:space="preserve"> imply persistent transmissions of GC-DCI and persistent reception of </w:t>
      </w:r>
      <w:r w:rsidR="009B505C">
        <w:rPr>
          <w:rFonts w:ascii="Arial" w:hAnsi="Arial"/>
        </w:rPr>
        <w:t>A/N</w:t>
      </w:r>
      <w:r w:rsidR="00F67446">
        <w:rPr>
          <w:rFonts w:ascii="Arial" w:hAnsi="Arial"/>
        </w:rPr>
        <w:t xml:space="preserve"> feedback </w:t>
      </w:r>
      <w:r w:rsidR="00572843">
        <w:rPr>
          <w:rFonts w:ascii="Arial" w:hAnsi="Arial"/>
        </w:rPr>
        <w:t xml:space="preserve">from multiple UEs </w:t>
      </w:r>
      <w:r w:rsidR="00F67446">
        <w:rPr>
          <w:rFonts w:ascii="Arial" w:hAnsi="Arial"/>
        </w:rPr>
        <w:t xml:space="preserve">(e.g. </w:t>
      </w:r>
      <w:r w:rsidR="00572843">
        <w:rPr>
          <w:rFonts w:ascii="Arial" w:hAnsi="Arial"/>
        </w:rPr>
        <w:t xml:space="preserve">if </w:t>
      </w:r>
      <w:r w:rsidR="006843B2">
        <w:rPr>
          <w:rFonts w:ascii="Arial" w:hAnsi="Arial"/>
        </w:rPr>
        <w:t xml:space="preserve">each </w:t>
      </w:r>
      <w:r w:rsidR="00F67446">
        <w:rPr>
          <w:rFonts w:ascii="Arial" w:hAnsi="Arial"/>
        </w:rPr>
        <w:t xml:space="preserve">UE </w:t>
      </w:r>
      <w:r w:rsidR="006843B2">
        <w:rPr>
          <w:rFonts w:ascii="Arial" w:hAnsi="Arial"/>
        </w:rPr>
        <w:t xml:space="preserve">has to </w:t>
      </w:r>
      <w:r w:rsidR="00F67446">
        <w:rPr>
          <w:rFonts w:ascii="Arial" w:hAnsi="Arial"/>
        </w:rPr>
        <w:t xml:space="preserve">send NACK </w:t>
      </w:r>
      <w:r w:rsidR="00572843">
        <w:rPr>
          <w:rFonts w:ascii="Arial" w:hAnsi="Arial"/>
        </w:rPr>
        <w:t>upon</w:t>
      </w:r>
      <w:r w:rsidR="00F67446">
        <w:rPr>
          <w:rFonts w:ascii="Arial" w:hAnsi="Arial"/>
        </w:rPr>
        <w:t xml:space="preserve"> detect</w:t>
      </w:r>
      <w:r w:rsidR="00572843">
        <w:rPr>
          <w:rFonts w:ascii="Arial" w:hAnsi="Arial"/>
        </w:rPr>
        <w:t>ion of</w:t>
      </w:r>
      <w:r w:rsidR="00F67446">
        <w:rPr>
          <w:rFonts w:ascii="Arial" w:hAnsi="Arial"/>
        </w:rPr>
        <w:t xml:space="preserve"> no GC-DCI), which would lead to increased NW energy consumption. </w:t>
      </w:r>
    </w:p>
    <w:p w14:paraId="3FF2511F" w14:textId="1CB1AE81" w:rsidR="000C3AA5" w:rsidRPr="00747055" w:rsidRDefault="000C3AA5" w:rsidP="00747055">
      <w:pPr>
        <w:pStyle w:val="Observation"/>
        <w:numPr>
          <w:ilvl w:val="0"/>
          <w:numId w:val="33"/>
        </w:numPr>
        <w:spacing w:line="256" w:lineRule="auto"/>
        <w:ind w:left="1701" w:hanging="1701"/>
        <w:rPr>
          <w:rFonts w:cs="Arial"/>
        </w:rPr>
      </w:pPr>
      <w:bookmarkStart w:id="16" w:name="_Hlk134891368"/>
      <w:bookmarkStart w:id="17" w:name="_Toc134997462"/>
      <w:r>
        <w:rPr>
          <w:rFonts w:cs="Arial"/>
        </w:rPr>
        <w:t xml:space="preserve">UE specific DCI indication for cell DTX/DRX activation/deactivation is </w:t>
      </w:r>
      <w:r w:rsidR="001B21AA">
        <w:rPr>
          <w:rFonts w:cs="Arial"/>
        </w:rPr>
        <w:t>reliable/robust</w:t>
      </w:r>
      <w:r>
        <w:rPr>
          <w:rFonts w:cs="Arial"/>
        </w:rPr>
        <w:t xml:space="preserve"> since UE can provide feedback</w:t>
      </w:r>
      <w:r w:rsidR="00747055">
        <w:rPr>
          <w:rFonts w:cs="Arial"/>
        </w:rPr>
        <w:t>.</w:t>
      </w:r>
      <w:bookmarkEnd w:id="17"/>
    </w:p>
    <w:p w14:paraId="4E1EDAF1" w14:textId="77777777" w:rsidR="000C3AA5" w:rsidRPr="00747055" w:rsidRDefault="000C3AA5" w:rsidP="00747055">
      <w:pPr>
        <w:pStyle w:val="Observation"/>
        <w:numPr>
          <w:ilvl w:val="1"/>
          <w:numId w:val="33"/>
        </w:numPr>
        <w:spacing w:line="256" w:lineRule="auto"/>
        <w:rPr>
          <w:rFonts w:cs="Arial"/>
        </w:rPr>
      </w:pPr>
      <w:r>
        <w:rPr>
          <w:rFonts w:cs="Arial"/>
        </w:rPr>
        <w:t xml:space="preserve"> </w:t>
      </w:r>
      <w:bookmarkStart w:id="18" w:name="_Toc134997463"/>
      <w:r>
        <w:rPr>
          <w:rFonts w:cs="Arial"/>
        </w:rPr>
        <w:t>Overhead can be reduced by including the activation/deactivation information in scheduling DCI and/or using cell-grouping for the indication.</w:t>
      </w:r>
      <w:bookmarkEnd w:id="18"/>
      <w:r>
        <w:rPr>
          <w:rFonts w:cs="Arial"/>
        </w:rPr>
        <w:t xml:space="preserve">  </w:t>
      </w:r>
    </w:p>
    <w:p w14:paraId="10C230BC" w14:textId="298AED7B" w:rsidR="000C3AA5" w:rsidRDefault="000C3AA5" w:rsidP="00747055">
      <w:pPr>
        <w:pStyle w:val="Observation"/>
        <w:numPr>
          <w:ilvl w:val="0"/>
          <w:numId w:val="33"/>
        </w:numPr>
        <w:spacing w:line="256" w:lineRule="auto"/>
        <w:ind w:left="1701" w:hanging="1701"/>
        <w:rPr>
          <w:rFonts w:cs="Arial"/>
        </w:rPr>
      </w:pPr>
      <w:bookmarkStart w:id="19" w:name="_Toc134997464"/>
      <w:r>
        <w:rPr>
          <w:rFonts w:cs="Arial"/>
        </w:rPr>
        <w:t>Group-common DCI indication for cell DTX/DRX activation/deactivation may not be reliable</w:t>
      </w:r>
      <w:r w:rsidR="001B21AA">
        <w:rPr>
          <w:rFonts w:cs="Arial"/>
        </w:rPr>
        <w:t>/robust</w:t>
      </w:r>
      <w:r>
        <w:rPr>
          <w:rFonts w:cs="Arial"/>
        </w:rPr>
        <w:t xml:space="preserve"> due to absence of feedback from UE, leading to misaligned cell DTX/DRX assumption between UE and gNB.</w:t>
      </w:r>
      <w:bookmarkEnd w:id="19"/>
    </w:p>
    <w:p w14:paraId="04D46654" w14:textId="77777777" w:rsidR="000C3AA5" w:rsidRPr="00B057CF" w:rsidRDefault="000C3AA5" w:rsidP="00747055">
      <w:pPr>
        <w:pStyle w:val="Observation"/>
        <w:numPr>
          <w:ilvl w:val="1"/>
          <w:numId w:val="33"/>
        </w:numPr>
        <w:spacing w:line="256" w:lineRule="auto"/>
        <w:rPr>
          <w:rFonts w:cs="Arial"/>
        </w:rPr>
      </w:pPr>
      <w:bookmarkStart w:id="20" w:name="_Toc134997465"/>
      <w:r>
        <w:rPr>
          <w:rFonts w:cs="Arial"/>
        </w:rPr>
        <w:t>GC-DCI may provide lower signaling overhead.</w:t>
      </w:r>
      <w:bookmarkEnd w:id="20"/>
      <w:r>
        <w:rPr>
          <w:rFonts w:cs="Arial"/>
        </w:rPr>
        <w:t xml:space="preserve"> </w:t>
      </w:r>
    </w:p>
    <w:p w14:paraId="7987EFF5" w14:textId="192ED8D3" w:rsidR="0072239D" w:rsidRDefault="0072239D" w:rsidP="0072239D">
      <w:pPr>
        <w:pStyle w:val="Observation"/>
        <w:numPr>
          <w:ilvl w:val="0"/>
          <w:numId w:val="33"/>
        </w:numPr>
        <w:spacing w:line="256" w:lineRule="auto"/>
        <w:ind w:left="1701" w:hanging="1701"/>
        <w:rPr>
          <w:rFonts w:cs="Arial"/>
        </w:rPr>
      </w:pPr>
      <w:bookmarkStart w:id="21" w:name="_Toc134997466"/>
      <w:bookmarkEnd w:id="16"/>
      <w:r>
        <w:rPr>
          <w:rFonts w:cs="Arial"/>
        </w:rPr>
        <w:t>From RAN1 perspective, DCI indication for cell DTX/DRX activation/deactivation with UE feedback would be feasible and reliable.</w:t>
      </w:r>
      <w:bookmarkEnd w:id="21"/>
    </w:p>
    <w:p w14:paraId="5EB80DA0" w14:textId="458AD130" w:rsidR="0091605C" w:rsidRDefault="0091605C" w:rsidP="0091605C">
      <w:pPr>
        <w:pStyle w:val="Proposal"/>
        <w:numPr>
          <w:ilvl w:val="0"/>
          <w:numId w:val="18"/>
        </w:numPr>
        <w:tabs>
          <w:tab w:val="clear" w:pos="1304"/>
          <w:tab w:val="num" w:pos="4904"/>
        </w:tabs>
        <w:spacing w:line="254" w:lineRule="auto"/>
        <w:ind w:left="1701" w:hanging="1701"/>
        <w:rPr>
          <w:rFonts w:cs="Arial"/>
          <w:lang w:val="en-GB" w:eastAsia="zh-CN"/>
        </w:rPr>
      </w:pPr>
      <w:bookmarkStart w:id="22" w:name="_Toc134997471"/>
      <w:r>
        <w:rPr>
          <w:rFonts w:cs="Arial"/>
          <w:lang w:val="en-GB" w:eastAsia="zh-CN"/>
        </w:rPr>
        <w:t>Support DCI based</w:t>
      </w:r>
      <w:r w:rsidRPr="004115B8">
        <w:rPr>
          <w:rFonts w:cs="Arial"/>
          <w:lang w:val="en-GB" w:eastAsia="zh-CN"/>
        </w:rPr>
        <w:t xml:space="preserve"> </w:t>
      </w:r>
      <w:r>
        <w:rPr>
          <w:rFonts w:cs="Arial"/>
          <w:lang w:val="en-GB" w:eastAsia="zh-CN"/>
        </w:rPr>
        <w:t>cell DTX/DRX activation/deactivation with UE feedback</w:t>
      </w:r>
      <w:r w:rsidRPr="004115B8">
        <w:rPr>
          <w:rFonts w:cs="Arial"/>
          <w:lang w:val="en-GB" w:eastAsia="zh-CN"/>
        </w:rPr>
        <w:t>.</w:t>
      </w:r>
      <w:bookmarkEnd w:id="22"/>
    </w:p>
    <w:p w14:paraId="1F00126A" w14:textId="2220A47C" w:rsidR="00A55BD1" w:rsidRDefault="00A55BD1" w:rsidP="000E262C">
      <w:pPr>
        <w:pStyle w:val="Observation"/>
        <w:numPr>
          <w:ilvl w:val="0"/>
          <w:numId w:val="0"/>
        </w:numPr>
        <w:spacing w:line="256" w:lineRule="auto"/>
        <w:ind w:left="360" w:hanging="360"/>
        <w:rPr>
          <w:rFonts w:cs="Arial"/>
          <w:lang w:val="en-GB" w:eastAsia="zh-CN"/>
        </w:rPr>
      </w:pPr>
    </w:p>
    <w:p w14:paraId="112A8331" w14:textId="012E9C33" w:rsidR="00424AF4" w:rsidRPr="00643799" w:rsidRDefault="00424AF4" w:rsidP="00424AF4">
      <w:pPr>
        <w:jc w:val="both"/>
        <w:rPr>
          <w:rFonts w:ascii="Arial" w:hAnsi="Arial"/>
          <w:u w:val="single"/>
        </w:rPr>
      </w:pPr>
      <w:r w:rsidRPr="00643799">
        <w:rPr>
          <w:rFonts w:ascii="Arial" w:hAnsi="Arial"/>
          <w:u w:val="single"/>
        </w:rPr>
        <w:t>Handling ongoing packet transmissions/retransmissions</w:t>
      </w:r>
    </w:p>
    <w:p w14:paraId="4AA566D1" w14:textId="43190DED" w:rsidR="00B36751" w:rsidRDefault="00B36751" w:rsidP="00424AF4">
      <w:pPr>
        <w:jc w:val="both"/>
        <w:rPr>
          <w:rFonts w:ascii="Arial" w:hAnsi="Arial"/>
        </w:rPr>
      </w:pPr>
      <w:r>
        <w:rPr>
          <w:rFonts w:ascii="Arial" w:hAnsi="Arial"/>
        </w:rPr>
        <w:t xml:space="preserve">In the last meeting and based on RAN2 agreement, it was agreed that </w:t>
      </w:r>
      <w:r w:rsidR="00491434">
        <w:rPr>
          <w:rFonts w:ascii="Arial" w:hAnsi="Arial"/>
        </w:rPr>
        <w:t xml:space="preserve">during the non-active time of cell DTX/DRX, the UE does not monitor dynamic assignments/grants associated with new transmissions. </w:t>
      </w:r>
      <w:r w:rsidR="005C3ACF">
        <w:rPr>
          <w:rFonts w:ascii="Arial" w:hAnsi="Arial"/>
        </w:rPr>
        <w:t xml:space="preserve">Nevertheless, exception may apply. </w:t>
      </w:r>
      <w:r w:rsidR="00945713">
        <w:rPr>
          <w:rFonts w:ascii="Arial" w:hAnsi="Arial"/>
        </w:rPr>
        <w:t xml:space="preserve">Furthermore, it is still open how the UE should behave regarding retransmissions. </w:t>
      </w:r>
    </w:p>
    <w:p w14:paraId="26F7B995" w14:textId="6C491487" w:rsidR="00424AF4" w:rsidRDefault="00424AF4" w:rsidP="00424AF4">
      <w:pPr>
        <w:jc w:val="both"/>
        <w:rPr>
          <w:rFonts w:ascii="Arial" w:hAnsi="Arial"/>
        </w:rPr>
      </w:pPr>
      <w:r>
        <w:rPr>
          <w:rFonts w:ascii="Arial" w:hAnsi="Arial"/>
        </w:rPr>
        <w:t>I</w:t>
      </w:r>
      <w:r w:rsidRPr="003D65B9">
        <w:rPr>
          <w:rFonts w:ascii="Arial" w:hAnsi="Arial"/>
        </w:rPr>
        <w:t xml:space="preserve">t is </w:t>
      </w:r>
      <w:r>
        <w:rPr>
          <w:rFonts w:ascii="Arial" w:hAnsi="Arial"/>
        </w:rPr>
        <w:t>beneficial for both UE and gNB if any</w:t>
      </w:r>
      <w:r w:rsidRPr="003D65B9">
        <w:rPr>
          <w:rFonts w:ascii="Arial" w:hAnsi="Arial"/>
        </w:rPr>
        <w:t xml:space="preserve"> </w:t>
      </w:r>
      <w:r>
        <w:rPr>
          <w:rFonts w:ascii="Arial" w:hAnsi="Arial"/>
        </w:rPr>
        <w:t>ongoing</w:t>
      </w:r>
      <w:r w:rsidRPr="003D65B9">
        <w:rPr>
          <w:rFonts w:ascii="Arial" w:hAnsi="Arial"/>
        </w:rPr>
        <w:t xml:space="preserve"> packet </w:t>
      </w:r>
      <w:r>
        <w:rPr>
          <w:rFonts w:ascii="Arial" w:hAnsi="Arial"/>
        </w:rPr>
        <w:t>transfers</w:t>
      </w:r>
      <w:r w:rsidRPr="003D65B9">
        <w:rPr>
          <w:rFonts w:ascii="Arial" w:hAnsi="Arial"/>
        </w:rPr>
        <w:t xml:space="preserve"> </w:t>
      </w:r>
      <w:r>
        <w:rPr>
          <w:rFonts w:ascii="Arial" w:hAnsi="Arial"/>
        </w:rPr>
        <w:t>are</w:t>
      </w:r>
      <w:r w:rsidRPr="003D65B9">
        <w:rPr>
          <w:rFonts w:ascii="Arial" w:hAnsi="Arial"/>
        </w:rPr>
        <w:t xml:space="preserve"> not disrupted by cell DTX/DRX </w:t>
      </w:r>
      <w:r>
        <w:rPr>
          <w:rFonts w:ascii="Arial" w:hAnsi="Arial"/>
        </w:rPr>
        <w:t>non-</w:t>
      </w:r>
      <w:r w:rsidRPr="003D65B9">
        <w:rPr>
          <w:rFonts w:ascii="Arial" w:hAnsi="Arial"/>
        </w:rPr>
        <w:t xml:space="preserve">active </w:t>
      </w:r>
      <w:r>
        <w:rPr>
          <w:rFonts w:ascii="Arial" w:hAnsi="Arial"/>
        </w:rPr>
        <w:t>periods</w:t>
      </w:r>
      <w:r w:rsidRPr="003D65B9">
        <w:rPr>
          <w:rFonts w:ascii="Arial" w:hAnsi="Arial"/>
        </w:rPr>
        <w:t xml:space="preserve">. </w:t>
      </w:r>
      <w:r>
        <w:rPr>
          <w:rFonts w:ascii="Arial" w:hAnsi="Arial"/>
        </w:rPr>
        <w:t xml:space="preserve">Interrupting an on-going packet transfer will lead to unnecessary latency, and may also not bring in additional gNB/UE energy saving since gNB/UE have to pause due to occurrence of non-active period in middle of a packet transfer, and come back to ultimately transmit/receive this data. In such cases, it is better for both UE and gNB to finish the packet transfer and sleep afterwards. </w:t>
      </w:r>
    </w:p>
    <w:p w14:paraId="08974740" w14:textId="77777777" w:rsidR="00424AF4" w:rsidRDefault="00424AF4" w:rsidP="00424AF4">
      <w:pPr>
        <w:jc w:val="both"/>
        <w:rPr>
          <w:rFonts w:ascii="Arial" w:hAnsi="Arial"/>
        </w:rPr>
      </w:pPr>
      <w:r>
        <w:rPr>
          <w:rFonts w:ascii="Arial" w:hAnsi="Arial"/>
        </w:rPr>
        <w:t>A</w:t>
      </w:r>
      <w:r w:rsidRPr="00077450">
        <w:rPr>
          <w:rFonts w:ascii="Arial" w:hAnsi="Arial"/>
        </w:rPr>
        <w:t xml:space="preserve"> </w:t>
      </w:r>
      <w:r>
        <w:rPr>
          <w:rFonts w:ascii="Arial" w:hAnsi="Arial"/>
        </w:rPr>
        <w:t>simple way to address this issue</w:t>
      </w:r>
      <w:r w:rsidRPr="00077450">
        <w:rPr>
          <w:rFonts w:ascii="Arial" w:hAnsi="Arial"/>
        </w:rPr>
        <w:t xml:space="preserve"> is </w:t>
      </w:r>
      <w:r>
        <w:rPr>
          <w:rFonts w:ascii="Arial" w:hAnsi="Arial"/>
        </w:rPr>
        <w:t>by</w:t>
      </w:r>
      <w:r w:rsidRPr="00077450">
        <w:rPr>
          <w:rFonts w:ascii="Arial" w:hAnsi="Arial"/>
        </w:rPr>
        <w:t xml:space="preserve"> defin</w:t>
      </w:r>
      <w:r>
        <w:rPr>
          <w:rFonts w:ascii="Arial" w:hAnsi="Arial"/>
        </w:rPr>
        <w:t>ing</w:t>
      </w:r>
      <w:r w:rsidRPr="00077450">
        <w:rPr>
          <w:rFonts w:ascii="Arial" w:hAnsi="Arial"/>
        </w:rPr>
        <w:t xml:space="preserve"> </w:t>
      </w:r>
      <w:r>
        <w:rPr>
          <w:rFonts w:ascii="Arial" w:hAnsi="Arial"/>
        </w:rPr>
        <w:t>an indication in DCI to extend cell DTX/DRX active time</w:t>
      </w:r>
      <w:r w:rsidRPr="00077450">
        <w:rPr>
          <w:rFonts w:ascii="Arial" w:hAnsi="Arial"/>
        </w:rPr>
        <w:t xml:space="preserve"> that the NW can configure per UE as a part of </w:t>
      </w:r>
      <w:r>
        <w:rPr>
          <w:rFonts w:ascii="Arial" w:hAnsi="Arial"/>
        </w:rPr>
        <w:t>c</w:t>
      </w:r>
      <w:r w:rsidRPr="00077450">
        <w:rPr>
          <w:rFonts w:ascii="Arial" w:hAnsi="Arial"/>
        </w:rPr>
        <w:t xml:space="preserve">ell DTX/DRX RRC configuration. </w:t>
      </w:r>
      <w:r>
        <w:rPr>
          <w:rFonts w:ascii="Arial" w:hAnsi="Arial"/>
        </w:rPr>
        <w:t xml:space="preserve">Below figure shows an example of how this can work. UEs 1 and 2 may receive a cell DTX/DRX pattern with a periodic RRC-configured cell DTX/DRX active time pattern. </w:t>
      </w:r>
    </w:p>
    <w:p w14:paraId="2E95059E" w14:textId="77777777" w:rsidR="00424AF4" w:rsidRPr="003162FA" w:rsidRDefault="00424AF4" w:rsidP="00424AF4">
      <w:pPr>
        <w:jc w:val="both"/>
        <w:rPr>
          <w:rFonts w:ascii="Arial" w:hAnsi="Arial"/>
        </w:rPr>
      </w:pPr>
      <w:r w:rsidRPr="003162FA">
        <w:rPr>
          <w:rFonts w:ascii="Arial" w:hAnsi="Arial"/>
        </w:rPr>
        <w:t xml:space="preserve">Whether the cell is active/non-active during a certain period would then be considered from each UE’s perspective – for example the cell is always active for a legacy UE which is unaware of Cell DTX/DRX. </w:t>
      </w:r>
    </w:p>
    <w:p w14:paraId="26054E0D" w14:textId="77777777" w:rsidR="00424AF4" w:rsidRPr="003162FA" w:rsidRDefault="00424AF4" w:rsidP="00424AF4">
      <w:pPr>
        <w:jc w:val="both"/>
        <w:rPr>
          <w:rFonts w:ascii="Arial" w:hAnsi="Arial"/>
        </w:rPr>
      </w:pPr>
      <w:r w:rsidRPr="003162FA">
        <w:rPr>
          <w:rFonts w:ascii="Arial" w:hAnsi="Arial"/>
        </w:rPr>
        <w:t xml:space="preserve">When the gNB has scheduling messages for one UE (e.g. UE1), it can start scheduling the UE using UE-specific PDCCH. The PDCCH can also include an explicit indication to the UE1 whether to extend the </w:t>
      </w:r>
      <w:r>
        <w:rPr>
          <w:rFonts w:ascii="Arial" w:hAnsi="Arial"/>
        </w:rPr>
        <w:t>cell DTX/DRX active</w:t>
      </w:r>
      <w:r w:rsidRPr="003162FA">
        <w:rPr>
          <w:rFonts w:ascii="Arial" w:hAnsi="Arial"/>
        </w:rPr>
        <w:t xml:space="preserve"> time</w:t>
      </w:r>
      <w:r>
        <w:rPr>
          <w:rFonts w:ascii="Arial" w:hAnsi="Arial"/>
        </w:rPr>
        <w:t xml:space="preserve"> for a duration</w:t>
      </w:r>
      <w:r w:rsidRPr="003162FA">
        <w:rPr>
          <w:rFonts w:ascii="Arial" w:hAnsi="Arial"/>
        </w:rPr>
        <w:t xml:space="preserve"> </w:t>
      </w:r>
      <w:r>
        <w:rPr>
          <w:rFonts w:ascii="Arial" w:hAnsi="Arial"/>
        </w:rPr>
        <w:t xml:space="preserve">(or through a cell inactivity timer) </w:t>
      </w:r>
      <w:r w:rsidRPr="003162FA">
        <w:rPr>
          <w:rFonts w:ascii="Arial" w:hAnsi="Arial"/>
        </w:rPr>
        <w:t xml:space="preserve">so that gNB can </w:t>
      </w:r>
      <w:r>
        <w:rPr>
          <w:rFonts w:ascii="Arial" w:hAnsi="Arial"/>
        </w:rPr>
        <w:t>continue scheduling the UE</w:t>
      </w:r>
      <w:r w:rsidRPr="003162FA">
        <w:rPr>
          <w:rFonts w:ascii="Arial" w:hAnsi="Arial"/>
        </w:rPr>
        <w:t xml:space="preserve">. </w:t>
      </w:r>
      <w:r>
        <w:rPr>
          <w:rFonts w:ascii="Arial" w:hAnsi="Arial"/>
        </w:rPr>
        <w:t>F</w:t>
      </w:r>
      <w:r w:rsidRPr="003162FA">
        <w:rPr>
          <w:rFonts w:ascii="Arial" w:hAnsi="Arial"/>
        </w:rPr>
        <w:t xml:space="preserve">rom the UE1 perspective, the cell continues to be active for some further time (that might extend outside the RRC-configured </w:t>
      </w:r>
      <w:r>
        <w:rPr>
          <w:rFonts w:ascii="Arial" w:hAnsi="Arial"/>
        </w:rPr>
        <w:t>Cell DTX/DRX active</w:t>
      </w:r>
      <w:r w:rsidRPr="003162FA">
        <w:rPr>
          <w:rFonts w:ascii="Arial" w:hAnsi="Arial"/>
        </w:rPr>
        <w:t xml:space="preserve"> time). </w:t>
      </w:r>
      <w:r>
        <w:rPr>
          <w:rFonts w:ascii="Arial" w:hAnsi="Arial"/>
        </w:rPr>
        <w:t>At the same time, a UE2 that has no data to transmit/receive would the cell is non-active outside the RRC-configured cell DTX/DRX active time. So, while the</w:t>
      </w:r>
      <w:r w:rsidRPr="003162FA">
        <w:rPr>
          <w:rFonts w:ascii="Arial" w:hAnsi="Arial"/>
        </w:rPr>
        <w:t xml:space="preserve"> cell may be active from one UE’s perspective, while it may be non-active from another UE’s perspective.</w:t>
      </w:r>
    </w:p>
    <w:p w14:paraId="348FFF6C" w14:textId="77777777" w:rsidR="00424AF4" w:rsidRDefault="00424AF4" w:rsidP="00424AF4">
      <w:pPr>
        <w:keepNext/>
        <w:jc w:val="center"/>
      </w:pPr>
      <w:r>
        <w:rPr>
          <w:noProof/>
        </w:rPr>
        <w:drawing>
          <wp:inline distT="0" distB="0" distL="0" distR="0" wp14:anchorId="2F23AAF4" wp14:editId="066225E4">
            <wp:extent cx="6291072" cy="28163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1072" cy="2816352"/>
                    </a:xfrm>
                    <a:prstGeom prst="rect">
                      <a:avLst/>
                    </a:prstGeom>
                    <a:noFill/>
                  </pic:spPr>
                </pic:pic>
              </a:graphicData>
            </a:graphic>
          </wp:inline>
        </w:drawing>
      </w:r>
    </w:p>
    <w:p w14:paraId="13469CA4" w14:textId="77777777" w:rsidR="00424AF4" w:rsidRDefault="00424AF4" w:rsidP="00424AF4">
      <w:pPr>
        <w:pStyle w:val="Caption"/>
        <w:jc w:val="center"/>
        <w:rPr>
          <w:rFonts w:ascii="Arial" w:hAnsi="Arial"/>
        </w:rPr>
      </w:pPr>
      <w:r>
        <w:t xml:space="preserve">Figure </w:t>
      </w:r>
      <w:fldSimple w:instr=" SEQ Figure \* ARABIC ">
        <w:r>
          <w:rPr>
            <w:noProof/>
          </w:rPr>
          <w:t>1</w:t>
        </w:r>
      </w:fldSimple>
      <w:r>
        <w:t xml:space="preserve">.Illustration of cell DTX/DRX active/non-active periods from different UE perspectives. It also illustrates cell DTX/DRX active period extension for UE1 based on PDCCH scheduling. </w:t>
      </w:r>
    </w:p>
    <w:p w14:paraId="16F40138" w14:textId="77777777" w:rsidR="00424AF4" w:rsidRDefault="00424AF4" w:rsidP="00424AF4">
      <w:pPr>
        <w:jc w:val="both"/>
        <w:rPr>
          <w:rFonts w:ascii="Arial" w:hAnsi="Arial"/>
        </w:rPr>
      </w:pPr>
    </w:p>
    <w:p w14:paraId="29DF7951" w14:textId="77777777" w:rsidR="00424AF4" w:rsidRDefault="00424AF4" w:rsidP="00424AF4">
      <w:pPr>
        <w:jc w:val="both"/>
        <w:rPr>
          <w:rFonts w:ascii="Arial" w:hAnsi="Arial"/>
        </w:rPr>
      </w:pPr>
      <w:r>
        <w:rPr>
          <w:rFonts w:ascii="Arial" w:hAnsi="Arial"/>
        </w:rPr>
        <w:t>Whether</w:t>
      </w:r>
      <w:r w:rsidRPr="00077450">
        <w:rPr>
          <w:rFonts w:ascii="Arial" w:hAnsi="Arial"/>
        </w:rPr>
        <w:t xml:space="preserve"> and </w:t>
      </w:r>
      <w:r>
        <w:rPr>
          <w:rFonts w:ascii="Arial" w:hAnsi="Arial"/>
        </w:rPr>
        <w:t>how</w:t>
      </w:r>
      <w:r w:rsidRPr="00077450">
        <w:rPr>
          <w:rFonts w:ascii="Arial" w:hAnsi="Arial"/>
        </w:rPr>
        <w:t xml:space="preserve"> to configure the </w:t>
      </w:r>
      <w:r>
        <w:rPr>
          <w:rFonts w:ascii="Arial" w:hAnsi="Arial"/>
        </w:rPr>
        <w:t>duration for active time extension for each UE could be left to gNB implementation</w:t>
      </w:r>
      <w:r w:rsidRPr="00077450">
        <w:rPr>
          <w:rFonts w:ascii="Arial" w:hAnsi="Arial"/>
        </w:rPr>
        <w:t xml:space="preserve">. </w:t>
      </w:r>
      <w:r>
        <w:rPr>
          <w:rFonts w:ascii="Arial" w:hAnsi="Arial"/>
        </w:rPr>
        <w:t>We also note that similar reasoning as above also apply for retransmissions of an ongoing packet during cell DTX/DRX non-active period.</w:t>
      </w:r>
    </w:p>
    <w:p w14:paraId="0BC9D285" w14:textId="77777777" w:rsidR="007F1B68" w:rsidRDefault="007F1B68" w:rsidP="007F1B68">
      <w:pPr>
        <w:pStyle w:val="Proposal"/>
        <w:numPr>
          <w:ilvl w:val="0"/>
          <w:numId w:val="18"/>
        </w:numPr>
        <w:tabs>
          <w:tab w:val="clear" w:pos="1304"/>
          <w:tab w:val="num" w:pos="4904"/>
        </w:tabs>
        <w:spacing w:line="254" w:lineRule="auto"/>
        <w:ind w:left="1701" w:hanging="1701"/>
        <w:rPr>
          <w:rFonts w:cs="Arial"/>
          <w:lang w:val="en-GB" w:eastAsia="zh-CN"/>
        </w:rPr>
      </w:pPr>
      <w:bookmarkStart w:id="23" w:name="_Toc131714330"/>
      <w:bookmarkStart w:id="24" w:name="_Toc131692771"/>
      <w:bookmarkStart w:id="25" w:name="_Toc131692879"/>
      <w:bookmarkStart w:id="26" w:name="_Toc131694409"/>
      <w:bookmarkStart w:id="27" w:name="_Toc131694605"/>
      <w:bookmarkStart w:id="28" w:name="_Toc131692880"/>
      <w:bookmarkStart w:id="29" w:name="_Toc134997472"/>
      <w:bookmarkEnd w:id="23"/>
      <w:bookmarkEnd w:id="24"/>
      <w:bookmarkEnd w:id="25"/>
      <w:bookmarkEnd w:id="26"/>
      <w:bookmarkEnd w:id="27"/>
      <w:r>
        <w:rPr>
          <w:rFonts w:cs="Arial"/>
          <w:lang w:val="en-GB" w:eastAsia="zh-CN"/>
        </w:rPr>
        <w:t>Support</w:t>
      </w:r>
      <w:r w:rsidRPr="004115B8">
        <w:rPr>
          <w:rFonts w:cs="Arial"/>
          <w:lang w:val="en-GB" w:eastAsia="zh-CN"/>
        </w:rPr>
        <w:t xml:space="preserve"> at least a cell DTX/DRX mechanism that</w:t>
      </w:r>
      <w:r>
        <w:rPr>
          <w:rFonts w:cs="Arial"/>
          <w:lang w:val="en-GB" w:eastAsia="zh-CN"/>
        </w:rPr>
        <w:t xml:space="preserve"> does not disrupt an ongoing packet delivery including packet transmissions/retransmissions</w:t>
      </w:r>
      <w:r w:rsidRPr="004115B8">
        <w:rPr>
          <w:rFonts w:cs="Arial"/>
          <w:lang w:val="en-GB" w:eastAsia="zh-CN"/>
        </w:rPr>
        <w:t>.</w:t>
      </w:r>
      <w:bookmarkEnd w:id="29"/>
    </w:p>
    <w:p w14:paraId="5F7B22D4" w14:textId="26428870" w:rsidR="00D25FB1" w:rsidRDefault="00D25FB1" w:rsidP="00D25FB1">
      <w:pPr>
        <w:pStyle w:val="Proposal"/>
        <w:numPr>
          <w:ilvl w:val="0"/>
          <w:numId w:val="18"/>
        </w:numPr>
        <w:tabs>
          <w:tab w:val="clear" w:pos="1304"/>
          <w:tab w:val="num" w:pos="4904"/>
        </w:tabs>
        <w:spacing w:line="254" w:lineRule="auto"/>
        <w:ind w:left="1701" w:hanging="1701"/>
        <w:rPr>
          <w:rFonts w:cs="Arial"/>
          <w:lang w:val="en-GB" w:eastAsia="zh-CN"/>
        </w:rPr>
      </w:pPr>
      <w:bookmarkStart w:id="30" w:name="_Toc134997473"/>
      <w:r>
        <w:rPr>
          <w:rFonts w:cs="Arial"/>
          <w:lang w:val="en-GB" w:eastAsia="zh-CN"/>
        </w:rPr>
        <w:t>During</w:t>
      </w:r>
      <w:r w:rsidRPr="004115B8">
        <w:rPr>
          <w:rFonts w:cs="Arial"/>
          <w:lang w:val="en-GB" w:eastAsia="zh-CN"/>
        </w:rPr>
        <w:t xml:space="preserve"> </w:t>
      </w:r>
      <w:r>
        <w:rPr>
          <w:rFonts w:cs="Arial"/>
          <w:lang w:val="en-GB" w:eastAsia="zh-CN"/>
        </w:rPr>
        <w:t>non-active period of cell DTX, when C-DRX HARQ retransmission timer is running, UE monitors PDCCH for HARQ retransmissions.</w:t>
      </w:r>
      <w:bookmarkEnd w:id="30"/>
    </w:p>
    <w:p w14:paraId="6D19F012" w14:textId="128ADCEB" w:rsidR="00D25FB1" w:rsidRDefault="007F1B68" w:rsidP="00D25FB1">
      <w:pPr>
        <w:pStyle w:val="Proposal"/>
        <w:numPr>
          <w:ilvl w:val="0"/>
          <w:numId w:val="18"/>
        </w:numPr>
        <w:tabs>
          <w:tab w:val="clear" w:pos="1304"/>
          <w:tab w:val="num" w:pos="4904"/>
        </w:tabs>
        <w:spacing w:line="254" w:lineRule="auto"/>
        <w:ind w:left="1701" w:hanging="1701"/>
        <w:rPr>
          <w:rFonts w:cs="Arial"/>
          <w:lang w:val="en-GB" w:eastAsia="zh-CN"/>
        </w:rPr>
      </w:pPr>
      <w:bookmarkStart w:id="31" w:name="_Toc134997474"/>
      <w:r>
        <w:rPr>
          <w:rFonts w:cs="Arial"/>
          <w:lang w:val="en-GB" w:eastAsia="zh-CN"/>
        </w:rPr>
        <w:t xml:space="preserve">Introduce an explicit field in </w:t>
      </w:r>
      <w:r w:rsidR="003703F1">
        <w:rPr>
          <w:rFonts w:cs="Arial"/>
          <w:lang w:val="en-GB" w:eastAsia="zh-CN"/>
        </w:rPr>
        <w:t xml:space="preserve">at least the </w:t>
      </w:r>
      <w:r>
        <w:rPr>
          <w:rFonts w:cs="Arial"/>
          <w:lang w:val="en-GB" w:eastAsia="zh-CN"/>
        </w:rPr>
        <w:t>scheduling DCI formats (0_1/1_1) to indicate extension of</w:t>
      </w:r>
      <w:r w:rsidR="00D25FB1">
        <w:rPr>
          <w:rFonts w:cs="Arial"/>
          <w:lang w:val="en-GB" w:eastAsia="zh-CN"/>
        </w:rPr>
        <w:t xml:space="preserve"> </w:t>
      </w:r>
      <w:r>
        <w:rPr>
          <w:rFonts w:cs="Arial"/>
          <w:lang w:val="en-GB" w:eastAsia="zh-CN"/>
        </w:rPr>
        <w:t xml:space="preserve">cell DTX/DRX </w:t>
      </w:r>
      <w:r w:rsidR="00D25FB1">
        <w:rPr>
          <w:rFonts w:cs="Arial"/>
          <w:lang w:val="en-GB" w:eastAsia="zh-CN"/>
        </w:rPr>
        <w:t>active time.</w:t>
      </w:r>
      <w:bookmarkEnd w:id="31"/>
    </w:p>
    <w:p w14:paraId="4A2EAF5D" w14:textId="36A63B85" w:rsidR="007F1B68" w:rsidRDefault="007F1B68" w:rsidP="007F1B68">
      <w:pPr>
        <w:pStyle w:val="Proposal"/>
        <w:numPr>
          <w:ilvl w:val="1"/>
          <w:numId w:val="18"/>
        </w:numPr>
        <w:spacing w:line="254" w:lineRule="auto"/>
        <w:rPr>
          <w:rFonts w:cs="Arial"/>
          <w:lang w:val="en-GB" w:eastAsia="zh-CN"/>
        </w:rPr>
      </w:pPr>
      <w:bookmarkStart w:id="32" w:name="_Toc134997475"/>
      <w:r>
        <w:rPr>
          <w:rFonts w:cs="Arial"/>
          <w:lang w:val="en-GB" w:eastAsia="zh-CN"/>
        </w:rPr>
        <w:t xml:space="preserve">When the field indicates ‘0’, there is no additional extension of cell </w:t>
      </w:r>
      <w:r w:rsidR="009B505C">
        <w:rPr>
          <w:rFonts w:cs="Arial"/>
          <w:lang w:val="en-GB" w:eastAsia="zh-CN"/>
        </w:rPr>
        <w:t xml:space="preserve">DTX/DRX </w:t>
      </w:r>
      <w:r>
        <w:rPr>
          <w:rFonts w:cs="Arial"/>
          <w:lang w:val="en-GB" w:eastAsia="zh-CN"/>
        </w:rPr>
        <w:t>active time</w:t>
      </w:r>
      <w:r w:rsidR="00BA3F4D">
        <w:rPr>
          <w:rFonts w:cs="Arial"/>
          <w:lang w:val="en-GB" w:eastAsia="zh-CN"/>
        </w:rPr>
        <w:t>.</w:t>
      </w:r>
      <w:bookmarkEnd w:id="32"/>
    </w:p>
    <w:p w14:paraId="48547EE4" w14:textId="5214ADB6" w:rsidR="007F1B68" w:rsidRPr="00D25FB1" w:rsidRDefault="007F1B68" w:rsidP="000E262C">
      <w:pPr>
        <w:pStyle w:val="Proposal"/>
        <w:numPr>
          <w:ilvl w:val="1"/>
          <w:numId w:val="18"/>
        </w:numPr>
        <w:spacing w:line="254" w:lineRule="auto"/>
        <w:rPr>
          <w:rFonts w:cs="Arial"/>
          <w:lang w:val="en-GB" w:eastAsia="zh-CN"/>
        </w:rPr>
      </w:pPr>
      <w:bookmarkStart w:id="33" w:name="_Toc134997476"/>
      <w:r>
        <w:rPr>
          <w:rFonts w:cs="Arial"/>
          <w:lang w:val="en-GB" w:eastAsia="zh-CN"/>
        </w:rPr>
        <w:t>When the field indicates ‘1’, the cell DTX/DRX active time is additionally extended by a number of slots configured by higher layers</w:t>
      </w:r>
      <w:r w:rsidR="00BA3F4D">
        <w:rPr>
          <w:rFonts w:cs="Arial"/>
          <w:lang w:val="en-GB" w:eastAsia="zh-CN"/>
        </w:rPr>
        <w:t>.</w:t>
      </w:r>
      <w:bookmarkEnd w:id="33"/>
    </w:p>
    <w:bookmarkEnd w:id="28"/>
    <w:p w14:paraId="21C75FF2" w14:textId="77777777" w:rsidR="00424AF4" w:rsidRPr="00560CBF" w:rsidRDefault="00424AF4" w:rsidP="00424AF4">
      <w:pPr>
        <w:jc w:val="both"/>
        <w:rPr>
          <w:rFonts w:ascii="Arial" w:hAnsi="Arial"/>
          <w:lang w:val="en-GB"/>
        </w:rPr>
      </w:pPr>
    </w:p>
    <w:p w14:paraId="78B88627" w14:textId="77777777" w:rsidR="00424AF4" w:rsidRPr="00AA3123" w:rsidRDefault="00424AF4" w:rsidP="00424AF4">
      <w:pPr>
        <w:pStyle w:val="Heading1"/>
        <w:numPr>
          <w:ilvl w:val="0"/>
          <w:numId w:val="0"/>
        </w:numPr>
        <w:rPr>
          <w:lang w:val="en-US"/>
        </w:rPr>
      </w:pPr>
      <w:bookmarkStart w:id="34" w:name="_Toc126919184"/>
      <w:bookmarkStart w:id="35" w:name="_Toc126919185"/>
      <w:bookmarkStart w:id="36" w:name="_Toc126919186"/>
      <w:bookmarkStart w:id="37" w:name="_Toc126919202"/>
      <w:bookmarkStart w:id="38" w:name="_Toc126919220"/>
      <w:bookmarkStart w:id="39" w:name="_Toc126919231"/>
      <w:bookmarkStart w:id="40" w:name="_Toc126919252"/>
      <w:bookmarkStart w:id="41" w:name="_Toc126919261"/>
      <w:bookmarkStart w:id="42" w:name="_Toc126919276"/>
      <w:bookmarkStart w:id="43" w:name="_Toc126919278"/>
      <w:bookmarkStart w:id="44" w:name="_Toc126919280"/>
      <w:bookmarkStart w:id="45" w:name="_Toc126919292"/>
      <w:bookmarkStart w:id="46" w:name="_Toc126919303"/>
      <w:bookmarkStart w:id="47" w:name="_Toc126919309"/>
      <w:bookmarkStart w:id="48" w:name="_Toc126919310"/>
      <w:bookmarkStart w:id="49" w:name="_Toc126919311"/>
      <w:bookmarkStart w:id="50" w:name="_Toc126919313"/>
      <w:bookmarkStart w:id="51" w:name="_Toc126919316"/>
      <w:bookmarkStart w:id="52" w:name="_Toc126919318"/>
      <w:bookmarkStart w:id="53" w:name="_Toc126919346"/>
      <w:bookmarkStart w:id="54" w:name="_Toc126919354"/>
      <w:bookmarkStart w:id="55" w:name="_Toc12691935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lang w:val="en-US"/>
        </w:rPr>
        <w:t>3</w:t>
      </w:r>
      <w:r w:rsidRPr="00AA3123">
        <w:rPr>
          <w:lang w:val="en-US"/>
        </w:rPr>
        <w:tab/>
        <w:t>Conclusion</w:t>
      </w:r>
    </w:p>
    <w:p w14:paraId="59FF6BB2" w14:textId="77777777" w:rsidR="00424AF4" w:rsidRDefault="00424AF4" w:rsidP="00424AF4">
      <w:pPr>
        <w:pStyle w:val="BodyText"/>
        <w:rPr>
          <w:b/>
          <w:bCs/>
        </w:rPr>
      </w:pPr>
      <w:r>
        <w:t>In the previous sections</w:t>
      </w:r>
      <w:r w:rsidRPr="00CE0424">
        <w:t xml:space="preserve"> we </w:t>
      </w:r>
      <w:r>
        <w:t>made the following observations</w:t>
      </w:r>
      <w:r w:rsidRPr="00CE0424">
        <w:t>:</w:t>
      </w:r>
      <w:r>
        <w:rPr>
          <w:b/>
          <w:bCs/>
        </w:rPr>
        <w:t xml:space="preserve"> </w:t>
      </w:r>
    </w:p>
    <w:p w14:paraId="3E11D991" w14:textId="684D1C8C" w:rsidR="003933C5" w:rsidRDefault="00424AF4">
      <w:pPr>
        <w:pStyle w:val="TableofFigures"/>
        <w:tabs>
          <w:tab w:val="right" w:leader="dot" w:pos="9771"/>
        </w:tabs>
        <w:rPr>
          <w:rFonts w:asciiTheme="minorHAnsi" w:hAnsiTheme="minorHAnsi"/>
          <w:b w:val="0"/>
          <w:noProof/>
        </w:rPr>
      </w:pPr>
      <w:r>
        <w:rPr>
          <w:b w:val="0"/>
        </w:rPr>
        <w:fldChar w:fldCharType="begin"/>
      </w:r>
      <w:r>
        <w:rPr>
          <w:bCs/>
        </w:rPr>
        <w:instrText xml:space="preserve"> TOC \f O \n \h \z \t "Observation" \c </w:instrText>
      </w:r>
      <w:r>
        <w:rPr>
          <w:b w:val="0"/>
        </w:rPr>
        <w:fldChar w:fldCharType="separate"/>
      </w:r>
      <w:hyperlink w:anchor="_Toc134997458" w:history="1">
        <w:r w:rsidR="003933C5" w:rsidRPr="002F21E2">
          <w:rPr>
            <w:rStyle w:val="Hyperlink"/>
            <w:rFonts w:cs="Arial"/>
            <w:noProof/>
          </w:rPr>
          <w:t>Observation 1</w:t>
        </w:r>
        <w:r w:rsidR="003933C5">
          <w:rPr>
            <w:rFonts w:asciiTheme="minorHAnsi" w:hAnsiTheme="minorHAnsi"/>
            <w:b w:val="0"/>
            <w:noProof/>
          </w:rPr>
          <w:tab/>
        </w:r>
        <w:r w:rsidR="003933C5" w:rsidRPr="002F21E2">
          <w:rPr>
            <w:rStyle w:val="Hyperlink"/>
            <w:rFonts w:cs="Arial"/>
            <w:noProof/>
          </w:rPr>
          <w:t>Restricting reception of TRS during cell DTX/DRX non-active period can save NW energy (e.g. ~ 10% gain).</w:t>
        </w:r>
      </w:hyperlink>
    </w:p>
    <w:p w14:paraId="4DD47760" w14:textId="32FB1ADF" w:rsidR="003933C5" w:rsidRDefault="003933C5">
      <w:pPr>
        <w:pStyle w:val="TableofFigures"/>
        <w:tabs>
          <w:tab w:val="right" w:leader="dot" w:pos="9771"/>
        </w:tabs>
        <w:rPr>
          <w:rFonts w:asciiTheme="minorHAnsi" w:hAnsiTheme="minorHAnsi"/>
          <w:b w:val="0"/>
          <w:noProof/>
        </w:rPr>
      </w:pPr>
      <w:hyperlink w:anchor="_Toc134997459" w:history="1">
        <w:r w:rsidRPr="002F21E2">
          <w:rPr>
            <w:rStyle w:val="Hyperlink"/>
            <w:rFonts w:cs="Arial"/>
            <w:noProof/>
            <w:lang w:val="en-GB" w:eastAsia="zh-CN"/>
          </w:rPr>
          <w:t>Observation 2</w:t>
        </w:r>
        <w:r>
          <w:rPr>
            <w:rFonts w:asciiTheme="minorHAnsi" w:hAnsiTheme="minorHAnsi"/>
            <w:b w:val="0"/>
            <w:noProof/>
          </w:rPr>
          <w:tab/>
        </w:r>
        <w:r w:rsidRPr="002F21E2">
          <w:rPr>
            <w:rStyle w:val="Hyperlink"/>
            <w:rFonts w:cs="Arial"/>
            <w:noProof/>
          </w:rPr>
          <w:t>PRS may be used also by idle/inactive UEs, and it may not be necessary to restrict PRS reception during non-active period of cell DTX/DRX.</w:t>
        </w:r>
      </w:hyperlink>
    </w:p>
    <w:p w14:paraId="6AF486B3" w14:textId="2770A640" w:rsidR="003933C5" w:rsidRDefault="003933C5">
      <w:pPr>
        <w:pStyle w:val="TableofFigures"/>
        <w:tabs>
          <w:tab w:val="right" w:leader="dot" w:pos="9771"/>
        </w:tabs>
        <w:rPr>
          <w:rFonts w:asciiTheme="minorHAnsi" w:hAnsiTheme="minorHAnsi"/>
          <w:b w:val="0"/>
          <w:noProof/>
        </w:rPr>
      </w:pPr>
      <w:hyperlink w:anchor="_Toc134997460" w:history="1">
        <w:r w:rsidRPr="002F21E2">
          <w:rPr>
            <w:rStyle w:val="Hyperlink"/>
            <w:rFonts w:cs="Arial"/>
            <w:noProof/>
            <w:lang w:val="en-GB" w:eastAsia="zh-CN"/>
          </w:rPr>
          <w:t>Observation 3</w:t>
        </w:r>
        <w:r>
          <w:rPr>
            <w:rFonts w:asciiTheme="minorHAnsi" w:hAnsiTheme="minorHAnsi"/>
            <w:b w:val="0"/>
            <w:noProof/>
          </w:rPr>
          <w:tab/>
        </w:r>
        <w:r w:rsidRPr="002F21E2">
          <w:rPr>
            <w:rStyle w:val="Hyperlink"/>
            <w:rFonts w:cs="Arial"/>
            <w:noProof/>
          </w:rPr>
          <w:t>gNB can configure the UE to perform RRM, RLM/BFD, and BM based on SSBs. If CSI-RS based RRM, RLM are configured instead, then it may not be necessary to restrict their transmission during the non-active time of cell DTX/DRX.</w:t>
        </w:r>
      </w:hyperlink>
    </w:p>
    <w:p w14:paraId="41E05F4A" w14:textId="3FC78C04" w:rsidR="003933C5" w:rsidRDefault="003933C5">
      <w:pPr>
        <w:pStyle w:val="TableofFigures"/>
        <w:tabs>
          <w:tab w:val="right" w:leader="dot" w:pos="9771"/>
        </w:tabs>
        <w:rPr>
          <w:rFonts w:asciiTheme="minorHAnsi" w:hAnsiTheme="minorHAnsi"/>
          <w:b w:val="0"/>
          <w:noProof/>
        </w:rPr>
      </w:pPr>
      <w:hyperlink w:anchor="_Toc134997461" w:history="1">
        <w:r w:rsidRPr="002F21E2">
          <w:rPr>
            <w:rStyle w:val="Hyperlink"/>
            <w:rFonts w:cs="Arial"/>
            <w:noProof/>
          </w:rPr>
          <w:t>Observation 4</w:t>
        </w:r>
        <w:r>
          <w:rPr>
            <w:rFonts w:asciiTheme="minorHAnsi" w:hAnsiTheme="minorHAnsi"/>
            <w:b w:val="0"/>
            <w:noProof/>
          </w:rPr>
          <w:tab/>
        </w:r>
        <w:r w:rsidRPr="002F21E2">
          <w:rPr>
            <w:rStyle w:val="Hyperlink"/>
            <w:rFonts w:cs="Arial"/>
            <w:noProof/>
          </w:rPr>
          <w:t>For L1 based activation/deactivation of cell DTX/DRX, mechanisms to address UE and gNB misalignment issue need to be considered.</w:t>
        </w:r>
      </w:hyperlink>
    </w:p>
    <w:p w14:paraId="57B460D7" w14:textId="466C550F" w:rsidR="003933C5" w:rsidRDefault="003933C5">
      <w:pPr>
        <w:pStyle w:val="TableofFigures"/>
        <w:tabs>
          <w:tab w:val="right" w:leader="dot" w:pos="9771"/>
        </w:tabs>
        <w:rPr>
          <w:rFonts w:asciiTheme="minorHAnsi" w:hAnsiTheme="minorHAnsi"/>
          <w:b w:val="0"/>
          <w:noProof/>
        </w:rPr>
      </w:pPr>
      <w:hyperlink w:anchor="_Toc134997462" w:history="1">
        <w:r w:rsidRPr="002F21E2">
          <w:rPr>
            <w:rStyle w:val="Hyperlink"/>
            <w:rFonts w:cs="Arial"/>
            <w:noProof/>
          </w:rPr>
          <w:t>Observation 5</w:t>
        </w:r>
        <w:r>
          <w:rPr>
            <w:rFonts w:asciiTheme="minorHAnsi" w:hAnsiTheme="minorHAnsi"/>
            <w:b w:val="0"/>
            <w:noProof/>
          </w:rPr>
          <w:tab/>
        </w:r>
        <w:r w:rsidRPr="002F21E2">
          <w:rPr>
            <w:rStyle w:val="Hyperlink"/>
            <w:rFonts w:cs="Arial"/>
            <w:noProof/>
          </w:rPr>
          <w:t>UE specific DCI indication for cell DTX/DRX activation/deactivation is reliable/robust since UE can provide feedback.</w:t>
        </w:r>
      </w:hyperlink>
    </w:p>
    <w:p w14:paraId="3DF3F278" w14:textId="5D73020E" w:rsidR="003933C5" w:rsidRDefault="003933C5">
      <w:pPr>
        <w:pStyle w:val="TableofFigures"/>
        <w:tabs>
          <w:tab w:val="right" w:leader="dot" w:pos="9771"/>
        </w:tabs>
        <w:rPr>
          <w:rFonts w:asciiTheme="minorHAnsi" w:hAnsiTheme="minorHAnsi"/>
          <w:b w:val="0"/>
          <w:noProof/>
        </w:rPr>
      </w:pPr>
      <w:hyperlink w:anchor="_Toc134997463" w:history="1">
        <w:r w:rsidRPr="002F21E2">
          <w:rPr>
            <w:rStyle w:val="Hyperlink"/>
            <w:rFonts w:cs="Arial"/>
            <w:noProof/>
          </w:rPr>
          <w:t>a.</w:t>
        </w:r>
        <w:r>
          <w:rPr>
            <w:rFonts w:asciiTheme="minorHAnsi" w:hAnsiTheme="minorHAnsi"/>
            <w:b w:val="0"/>
            <w:noProof/>
          </w:rPr>
          <w:tab/>
        </w:r>
        <w:r w:rsidRPr="002F21E2">
          <w:rPr>
            <w:rStyle w:val="Hyperlink"/>
            <w:rFonts w:cs="Arial"/>
            <w:noProof/>
          </w:rPr>
          <w:t>Overhead can be reduced by including the activation/deactivation information in scheduling DCI and/or using cell-grouping for the indication.</w:t>
        </w:r>
      </w:hyperlink>
    </w:p>
    <w:p w14:paraId="52A9C1AE" w14:textId="6E92C348" w:rsidR="003933C5" w:rsidRDefault="003933C5">
      <w:pPr>
        <w:pStyle w:val="TableofFigures"/>
        <w:tabs>
          <w:tab w:val="right" w:leader="dot" w:pos="9771"/>
        </w:tabs>
        <w:rPr>
          <w:rFonts w:asciiTheme="minorHAnsi" w:hAnsiTheme="minorHAnsi"/>
          <w:b w:val="0"/>
          <w:noProof/>
        </w:rPr>
      </w:pPr>
      <w:hyperlink w:anchor="_Toc134997464" w:history="1">
        <w:r w:rsidRPr="002F21E2">
          <w:rPr>
            <w:rStyle w:val="Hyperlink"/>
            <w:rFonts w:cs="Arial"/>
            <w:noProof/>
          </w:rPr>
          <w:t>Observation 6</w:t>
        </w:r>
        <w:r>
          <w:rPr>
            <w:rFonts w:asciiTheme="minorHAnsi" w:hAnsiTheme="minorHAnsi"/>
            <w:b w:val="0"/>
            <w:noProof/>
          </w:rPr>
          <w:tab/>
        </w:r>
        <w:r w:rsidRPr="002F21E2">
          <w:rPr>
            <w:rStyle w:val="Hyperlink"/>
            <w:rFonts w:cs="Arial"/>
            <w:noProof/>
          </w:rPr>
          <w:t>Group-common DCI indication for cell DTX/DRX activation/deactivation may not be reliable/robust due to absence of feedback from UE, leading to misaligned cell DTX/DRX assumption between UE and gNB.</w:t>
        </w:r>
      </w:hyperlink>
    </w:p>
    <w:p w14:paraId="5578131E" w14:textId="22ADDB04" w:rsidR="003933C5" w:rsidRDefault="003933C5">
      <w:pPr>
        <w:pStyle w:val="TableofFigures"/>
        <w:tabs>
          <w:tab w:val="right" w:leader="dot" w:pos="9771"/>
        </w:tabs>
        <w:rPr>
          <w:rFonts w:asciiTheme="minorHAnsi" w:hAnsiTheme="minorHAnsi"/>
          <w:b w:val="0"/>
          <w:noProof/>
        </w:rPr>
      </w:pPr>
      <w:hyperlink w:anchor="_Toc134997465" w:history="1">
        <w:r w:rsidRPr="002F21E2">
          <w:rPr>
            <w:rStyle w:val="Hyperlink"/>
            <w:rFonts w:cs="Arial"/>
            <w:noProof/>
          </w:rPr>
          <w:t>a.</w:t>
        </w:r>
        <w:r>
          <w:rPr>
            <w:rFonts w:asciiTheme="minorHAnsi" w:hAnsiTheme="minorHAnsi"/>
            <w:b w:val="0"/>
            <w:noProof/>
          </w:rPr>
          <w:tab/>
        </w:r>
        <w:r w:rsidRPr="002F21E2">
          <w:rPr>
            <w:rStyle w:val="Hyperlink"/>
            <w:rFonts w:cs="Arial"/>
            <w:noProof/>
          </w:rPr>
          <w:t>GC-DCI may provide lower signaling overhead.</w:t>
        </w:r>
      </w:hyperlink>
    </w:p>
    <w:p w14:paraId="7A8236BE" w14:textId="658DC7D3" w:rsidR="003933C5" w:rsidRDefault="003933C5">
      <w:pPr>
        <w:pStyle w:val="TableofFigures"/>
        <w:tabs>
          <w:tab w:val="right" w:leader="dot" w:pos="9771"/>
        </w:tabs>
        <w:rPr>
          <w:rFonts w:asciiTheme="minorHAnsi" w:hAnsiTheme="minorHAnsi"/>
          <w:b w:val="0"/>
          <w:noProof/>
        </w:rPr>
      </w:pPr>
      <w:hyperlink w:anchor="_Toc134997466" w:history="1">
        <w:r w:rsidRPr="002F21E2">
          <w:rPr>
            <w:rStyle w:val="Hyperlink"/>
            <w:rFonts w:cs="Arial"/>
            <w:noProof/>
          </w:rPr>
          <w:t>Observation 7</w:t>
        </w:r>
        <w:r>
          <w:rPr>
            <w:rFonts w:asciiTheme="minorHAnsi" w:hAnsiTheme="minorHAnsi"/>
            <w:b w:val="0"/>
            <w:noProof/>
          </w:rPr>
          <w:tab/>
        </w:r>
        <w:r w:rsidRPr="002F21E2">
          <w:rPr>
            <w:rStyle w:val="Hyperlink"/>
            <w:rFonts w:cs="Arial"/>
            <w:noProof/>
          </w:rPr>
          <w:t>From RAN1 perspective, DCI indication for cell DTX/DRX activation/deactivation with UE feedback would be feasible and reliable.</w:t>
        </w:r>
      </w:hyperlink>
    </w:p>
    <w:p w14:paraId="35DA6372" w14:textId="707B16D9" w:rsidR="00424AF4" w:rsidRDefault="00424AF4" w:rsidP="00424AF4">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EADCDCC" w14:textId="3EA82FC3" w:rsidR="003933C5" w:rsidRDefault="00424AF4">
      <w:pPr>
        <w:pStyle w:val="TableofFigures"/>
        <w:tabs>
          <w:tab w:val="right" w:leader="dot" w:pos="9771"/>
        </w:tabs>
        <w:rPr>
          <w:rFonts w:asciiTheme="minorHAnsi" w:hAnsiTheme="minorHAnsi"/>
          <w:b w:val="0"/>
          <w:noProof/>
        </w:rPr>
      </w:pPr>
      <w:r w:rsidRPr="008E3596">
        <w:rPr>
          <w:b w:val="0"/>
          <w:bCs/>
        </w:rPr>
        <w:fldChar w:fldCharType="begin"/>
      </w:r>
      <w:r>
        <w:rPr>
          <w:b w:val="0"/>
          <w:bCs/>
        </w:rPr>
        <w:instrText xml:space="preserve"> TOC \n \h \z \t "Proposal" \c </w:instrText>
      </w:r>
      <w:r w:rsidRPr="008E3596">
        <w:rPr>
          <w:b w:val="0"/>
          <w:bCs/>
        </w:rPr>
        <w:fldChar w:fldCharType="separate"/>
      </w:r>
      <w:hyperlink w:anchor="_Toc134997467" w:history="1">
        <w:r w:rsidR="003933C5" w:rsidRPr="00A34457">
          <w:rPr>
            <w:rStyle w:val="Hyperlink"/>
            <w:rFonts w:cs="Arial"/>
            <w:noProof/>
            <w:lang w:val="en-GB" w:eastAsia="zh-CN"/>
          </w:rPr>
          <w:t>Proposal 1</w:t>
        </w:r>
        <w:r w:rsidR="003933C5">
          <w:rPr>
            <w:rFonts w:asciiTheme="minorHAnsi" w:hAnsiTheme="minorHAnsi"/>
            <w:b w:val="0"/>
            <w:noProof/>
          </w:rPr>
          <w:tab/>
        </w:r>
        <w:r w:rsidR="003933C5" w:rsidRPr="00A34457">
          <w:rPr>
            <w:rStyle w:val="Hyperlink"/>
            <w:rFonts w:cs="Arial"/>
            <w:noProof/>
            <w:lang w:val="en-GB" w:eastAsia="zh-CN"/>
          </w:rPr>
          <w:t>OFDM symbols and slot(s) containing SSB are considered part of active period for cell DTX.</w:t>
        </w:r>
      </w:hyperlink>
    </w:p>
    <w:p w14:paraId="3CBCC075" w14:textId="245FE6F5" w:rsidR="003933C5" w:rsidRDefault="003933C5">
      <w:pPr>
        <w:pStyle w:val="TableofFigures"/>
        <w:tabs>
          <w:tab w:val="right" w:leader="dot" w:pos="9771"/>
        </w:tabs>
        <w:rPr>
          <w:rFonts w:asciiTheme="minorHAnsi" w:hAnsiTheme="minorHAnsi"/>
          <w:b w:val="0"/>
          <w:noProof/>
        </w:rPr>
      </w:pPr>
      <w:hyperlink w:anchor="_Toc134997468" w:history="1">
        <w:r w:rsidRPr="00A34457">
          <w:rPr>
            <w:rStyle w:val="Hyperlink"/>
            <w:noProof/>
            <w:lang w:val="en-GB"/>
          </w:rPr>
          <w:t>Proposal 2</w:t>
        </w:r>
        <w:r>
          <w:rPr>
            <w:rFonts w:asciiTheme="minorHAnsi" w:hAnsiTheme="minorHAnsi"/>
            <w:b w:val="0"/>
            <w:noProof/>
          </w:rPr>
          <w:tab/>
        </w:r>
        <w:r w:rsidRPr="00A34457">
          <w:rPr>
            <w:rStyle w:val="Hyperlink"/>
            <w:rFonts w:cs="Arial"/>
            <w:noProof/>
            <w:lang w:val="en-GB" w:eastAsia="zh-CN"/>
          </w:rPr>
          <w:t>Support selective reception of TRS in indicated TRS occasions during non-active period of cell DTX/DRX.</w:t>
        </w:r>
      </w:hyperlink>
    </w:p>
    <w:p w14:paraId="30302EEF" w14:textId="48DF8D3C" w:rsidR="003933C5" w:rsidRDefault="003933C5">
      <w:pPr>
        <w:pStyle w:val="TableofFigures"/>
        <w:tabs>
          <w:tab w:val="right" w:leader="dot" w:pos="9771"/>
        </w:tabs>
        <w:rPr>
          <w:rFonts w:asciiTheme="minorHAnsi" w:hAnsiTheme="minorHAnsi"/>
          <w:b w:val="0"/>
          <w:noProof/>
        </w:rPr>
      </w:pPr>
      <w:hyperlink w:anchor="_Toc134997469" w:history="1">
        <w:r w:rsidRPr="00A34457">
          <w:rPr>
            <w:rStyle w:val="Hyperlink"/>
            <w:rFonts w:cs="Arial"/>
            <w:noProof/>
            <w:lang w:val="en-GB" w:eastAsia="zh-CN"/>
          </w:rPr>
          <w:t>a.</w:t>
        </w:r>
        <w:r>
          <w:rPr>
            <w:rFonts w:asciiTheme="minorHAnsi" w:hAnsiTheme="minorHAnsi"/>
            <w:b w:val="0"/>
            <w:noProof/>
          </w:rPr>
          <w:tab/>
        </w:r>
        <w:r w:rsidRPr="00A34457">
          <w:rPr>
            <w:rStyle w:val="Hyperlink"/>
            <w:rFonts w:cs="Arial"/>
            <w:noProof/>
            <w:lang w:val="en-GB" w:eastAsia="zh-CN"/>
          </w:rPr>
          <w:t>Study further details of indication/occasions, e.g., TRS is received in occasions overlapping with a window before on-duration, before data scheduling, etc.</w:t>
        </w:r>
      </w:hyperlink>
    </w:p>
    <w:p w14:paraId="438545EA" w14:textId="242D1F71" w:rsidR="003933C5" w:rsidRDefault="003933C5">
      <w:pPr>
        <w:pStyle w:val="TableofFigures"/>
        <w:tabs>
          <w:tab w:val="right" w:leader="dot" w:pos="9771"/>
        </w:tabs>
        <w:rPr>
          <w:rFonts w:asciiTheme="minorHAnsi" w:hAnsiTheme="minorHAnsi"/>
          <w:b w:val="0"/>
          <w:noProof/>
        </w:rPr>
      </w:pPr>
      <w:hyperlink w:anchor="_Toc134997470" w:history="1">
        <w:r w:rsidRPr="00A34457">
          <w:rPr>
            <w:rStyle w:val="Hyperlink"/>
            <w:rFonts w:cs="Arial"/>
            <w:noProof/>
            <w:lang w:val="en-GB" w:eastAsia="zh-CN"/>
          </w:rPr>
          <w:t>Proposal 3</w:t>
        </w:r>
        <w:r>
          <w:rPr>
            <w:rFonts w:asciiTheme="minorHAnsi" w:hAnsiTheme="minorHAnsi"/>
            <w:b w:val="0"/>
            <w:noProof/>
          </w:rPr>
          <w:tab/>
        </w:r>
        <w:r w:rsidRPr="00A34457">
          <w:rPr>
            <w:rStyle w:val="Hyperlink"/>
            <w:rFonts w:cs="Arial"/>
            <w:noProof/>
            <w:lang w:val="en-GB" w:eastAsia="zh-CN"/>
          </w:rPr>
          <w:t>Restriction on UE reception of CSI-RS for RRM, RLM/BFD, and BM during cell DTX non-active period, if supported, can be separately configured by higher layers.</w:t>
        </w:r>
      </w:hyperlink>
    </w:p>
    <w:p w14:paraId="6AD7F999" w14:textId="377FCCD5" w:rsidR="003933C5" w:rsidRDefault="003933C5">
      <w:pPr>
        <w:pStyle w:val="TableofFigures"/>
        <w:tabs>
          <w:tab w:val="right" w:leader="dot" w:pos="9771"/>
        </w:tabs>
        <w:rPr>
          <w:rFonts w:asciiTheme="minorHAnsi" w:hAnsiTheme="minorHAnsi"/>
          <w:b w:val="0"/>
          <w:noProof/>
        </w:rPr>
      </w:pPr>
      <w:hyperlink w:anchor="_Toc134997471" w:history="1">
        <w:r w:rsidRPr="00A34457">
          <w:rPr>
            <w:rStyle w:val="Hyperlink"/>
            <w:rFonts w:cs="Arial"/>
            <w:noProof/>
            <w:lang w:val="en-GB" w:eastAsia="zh-CN"/>
          </w:rPr>
          <w:t>Proposal 4</w:t>
        </w:r>
        <w:r>
          <w:rPr>
            <w:rFonts w:asciiTheme="minorHAnsi" w:hAnsiTheme="minorHAnsi"/>
            <w:b w:val="0"/>
            <w:noProof/>
          </w:rPr>
          <w:tab/>
        </w:r>
        <w:r w:rsidRPr="00A34457">
          <w:rPr>
            <w:rStyle w:val="Hyperlink"/>
            <w:rFonts w:cs="Arial"/>
            <w:noProof/>
            <w:lang w:val="en-GB" w:eastAsia="zh-CN"/>
          </w:rPr>
          <w:t>Support DCI based cell DTX/DRX activation/deactivation with UE feedback.</w:t>
        </w:r>
      </w:hyperlink>
    </w:p>
    <w:p w14:paraId="7A8F4961" w14:textId="3CFD9BE2" w:rsidR="003933C5" w:rsidRDefault="003933C5">
      <w:pPr>
        <w:pStyle w:val="TableofFigures"/>
        <w:tabs>
          <w:tab w:val="right" w:leader="dot" w:pos="9771"/>
        </w:tabs>
        <w:rPr>
          <w:rFonts w:asciiTheme="minorHAnsi" w:hAnsiTheme="minorHAnsi"/>
          <w:b w:val="0"/>
          <w:noProof/>
        </w:rPr>
      </w:pPr>
      <w:hyperlink w:anchor="_Toc134997472" w:history="1">
        <w:r w:rsidRPr="00A34457">
          <w:rPr>
            <w:rStyle w:val="Hyperlink"/>
            <w:rFonts w:cs="Arial"/>
            <w:noProof/>
            <w:lang w:val="en-GB" w:eastAsia="zh-CN"/>
          </w:rPr>
          <w:t>Proposal 5</w:t>
        </w:r>
        <w:r>
          <w:rPr>
            <w:rFonts w:asciiTheme="minorHAnsi" w:hAnsiTheme="minorHAnsi"/>
            <w:b w:val="0"/>
            <w:noProof/>
          </w:rPr>
          <w:tab/>
        </w:r>
        <w:r w:rsidRPr="00A34457">
          <w:rPr>
            <w:rStyle w:val="Hyperlink"/>
            <w:rFonts w:cs="Arial"/>
            <w:noProof/>
            <w:lang w:val="en-GB" w:eastAsia="zh-CN"/>
          </w:rPr>
          <w:t>Support at least a cell DTX/DRX mechanism that does not disrupt an ongoing packet delivery including packet transmissions/retransmissions.</w:t>
        </w:r>
      </w:hyperlink>
    </w:p>
    <w:p w14:paraId="65FF1688" w14:textId="2D7F619F" w:rsidR="003933C5" w:rsidRDefault="003933C5">
      <w:pPr>
        <w:pStyle w:val="TableofFigures"/>
        <w:tabs>
          <w:tab w:val="right" w:leader="dot" w:pos="9771"/>
        </w:tabs>
        <w:rPr>
          <w:rFonts w:asciiTheme="minorHAnsi" w:hAnsiTheme="minorHAnsi"/>
          <w:b w:val="0"/>
          <w:noProof/>
        </w:rPr>
      </w:pPr>
      <w:hyperlink w:anchor="_Toc134997473" w:history="1">
        <w:r w:rsidRPr="00A34457">
          <w:rPr>
            <w:rStyle w:val="Hyperlink"/>
            <w:rFonts w:cs="Arial"/>
            <w:noProof/>
            <w:lang w:val="en-GB" w:eastAsia="zh-CN"/>
          </w:rPr>
          <w:t>Proposal 6</w:t>
        </w:r>
        <w:r>
          <w:rPr>
            <w:rFonts w:asciiTheme="minorHAnsi" w:hAnsiTheme="minorHAnsi"/>
            <w:b w:val="0"/>
            <w:noProof/>
          </w:rPr>
          <w:tab/>
        </w:r>
        <w:r w:rsidRPr="00A34457">
          <w:rPr>
            <w:rStyle w:val="Hyperlink"/>
            <w:rFonts w:cs="Arial"/>
            <w:noProof/>
            <w:lang w:val="en-GB" w:eastAsia="zh-CN"/>
          </w:rPr>
          <w:t>During non-active period of cell DTX, when C-DRX HARQ retransmission timer is running, UE monitors PDCCH for HARQ retransmissions.</w:t>
        </w:r>
      </w:hyperlink>
    </w:p>
    <w:p w14:paraId="061048D6" w14:textId="09B3FF6B" w:rsidR="003933C5" w:rsidRDefault="003933C5">
      <w:pPr>
        <w:pStyle w:val="TableofFigures"/>
        <w:tabs>
          <w:tab w:val="right" w:leader="dot" w:pos="9771"/>
        </w:tabs>
        <w:rPr>
          <w:rFonts w:asciiTheme="minorHAnsi" w:hAnsiTheme="minorHAnsi"/>
          <w:b w:val="0"/>
          <w:noProof/>
        </w:rPr>
      </w:pPr>
      <w:hyperlink w:anchor="_Toc134997474" w:history="1">
        <w:r w:rsidRPr="00A34457">
          <w:rPr>
            <w:rStyle w:val="Hyperlink"/>
            <w:rFonts w:cs="Arial"/>
            <w:noProof/>
            <w:lang w:val="en-GB" w:eastAsia="zh-CN"/>
          </w:rPr>
          <w:t>Proposal 7</w:t>
        </w:r>
        <w:r>
          <w:rPr>
            <w:rFonts w:asciiTheme="minorHAnsi" w:hAnsiTheme="minorHAnsi"/>
            <w:b w:val="0"/>
            <w:noProof/>
          </w:rPr>
          <w:tab/>
        </w:r>
        <w:r w:rsidRPr="00A34457">
          <w:rPr>
            <w:rStyle w:val="Hyperlink"/>
            <w:rFonts w:cs="Arial"/>
            <w:noProof/>
            <w:lang w:val="en-GB" w:eastAsia="zh-CN"/>
          </w:rPr>
          <w:t>Introduce an explicit field in at least the scheduling DCI formats (0_1/1_1) to indicate extension of cell DTX/DRX active time.</w:t>
        </w:r>
      </w:hyperlink>
    </w:p>
    <w:p w14:paraId="39C6DCA9" w14:textId="799E7B4C" w:rsidR="003933C5" w:rsidRDefault="003933C5">
      <w:pPr>
        <w:pStyle w:val="TableofFigures"/>
        <w:tabs>
          <w:tab w:val="right" w:leader="dot" w:pos="9771"/>
        </w:tabs>
        <w:rPr>
          <w:rFonts w:asciiTheme="minorHAnsi" w:hAnsiTheme="minorHAnsi"/>
          <w:b w:val="0"/>
          <w:noProof/>
        </w:rPr>
      </w:pPr>
      <w:hyperlink w:anchor="_Toc134997475" w:history="1">
        <w:r w:rsidRPr="00A34457">
          <w:rPr>
            <w:rStyle w:val="Hyperlink"/>
            <w:rFonts w:cs="Arial"/>
            <w:noProof/>
            <w:lang w:val="en-GB" w:eastAsia="zh-CN"/>
          </w:rPr>
          <w:t>a.</w:t>
        </w:r>
        <w:r>
          <w:rPr>
            <w:rFonts w:asciiTheme="minorHAnsi" w:hAnsiTheme="minorHAnsi"/>
            <w:b w:val="0"/>
            <w:noProof/>
          </w:rPr>
          <w:tab/>
        </w:r>
        <w:r w:rsidRPr="00A34457">
          <w:rPr>
            <w:rStyle w:val="Hyperlink"/>
            <w:rFonts w:cs="Arial"/>
            <w:noProof/>
            <w:lang w:val="en-GB" w:eastAsia="zh-CN"/>
          </w:rPr>
          <w:t>When the field indicates ‘0’, there is no additional extension of cell DTX/DRX active time.</w:t>
        </w:r>
      </w:hyperlink>
    </w:p>
    <w:p w14:paraId="1D0C0B99" w14:textId="523A26DD" w:rsidR="003933C5" w:rsidRDefault="003933C5">
      <w:pPr>
        <w:pStyle w:val="TableofFigures"/>
        <w:tabs>
          <w:tab w:val="right" w:leader="dot" w:pos="9771"/>
        </w:tabs>
        <w:rPr>
          <w:rFonts w:asciiTheme="minorHAnsi" w:hAnsiTheme="minorHAnsi"/>
          <w:b w:val="0"/>
          <w:noProof/>
        </w:rPr>
      </w:pPr>
      <w:hyperlink w:anchor="_Toc134997476" w:history="1">
        <w:r w:rsidRPr="00A34457">
          <w:rPr>
            <w:rStyle w:val="Hyperlink"/>
            <w:rFonts w:cs="Arial"/>
            <w:noProof/>
            <w:lang w:val="en-GB" w:eastAsia="zh-CN"/>
          </w:rPr>
          <w:t>b.</w:t>
        </w:r>
        <w:r>
          <w:rPr>
            <w:rFonts w:asciiTheme="minorHAnsi" w:hAnsiTheme="minorHAnsi"/>
            <w:b w:val="0"/>
            <w:noProof/>
          </w:rPr>
          <w:tab/>
        </w:r>
        <w:r w:rsidRPr="00A34457">
          <w:rPr>
            <w:rStyle w:val="Hyperlink"/>
            <w:rFonts w:cs="Arial"/>
            <w:noProof/>
            <w:lang w:val="en-GB" w:eastAsia="zh-CN"/>
          </w:rPr>
          <w:t>When the field indicates ‘1’, the cell DTX/DRX active time is additionally extended by a number of slots configured by higher layers.</w:t>
        </w:r>
      </w:hyperlink>
    </w:p>
    <w:p w14:paraId="3976EB82" w14:textId="7225BC01" w:rsidR="00424AF4" w:rsidRPr="008A7404" w:rsidRDefault="00424AF4" w:rsidP="00424AF4">
      <w:pPr>
        <w:pStyle w:val="BodyText"/>
        <w:rPr>
          <w:highlight w:val="yellow"/>
        </w:rPr>
      </w:pPr>
      <w:r w:rsidRPr="008E3596">
        <w:rPr>
          <w:b/>
          <w:bCs/>
        </w:rPr>
        <w:fldChar w:fldCharType="end"/>
      </w:r>
      <w:bookmarkStart w:id="56" w:name="_In-sequence_SDU_delivery"/>
      <w:bookmarkEnd w:id="56"/>
    </w:p>
    <w:p w14:paraId="2235AD66" w14:textId="77777777" w:rsidR="00424AF4" w:rsidRPr="00937ADF" w:rsidRDefault="00424AF4" w:rsidP="00424A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0049ED5D" w14:textId="3C242F24" w:rsidR="00424AF4" w:rsidRPr="0008540A" w:rsidRDefault="00424AF4" w:rsidP="00424AF4">
      <w:pPr>
        <w:pStyle w:val="List2"/>
        <w:tabs>
          <w:tab w:val="clear" w:pos="2041"/>
          <w:tab w:val="num" w:pos="993"/>
        </w:tabs>
        <w:ind w:left="426" w:hanging="426"/>
        <w:rPr>
          <w:u w:val="single"/>
          <w:lang w:val="en-US"/>
        </w:rPr>
      </w:pPr>
      <w:r w:rsidRPr="00564D81">
        <w:rPr>
          <w:rFonts w:eastAsia="MS Mincho" w:cs="Arial"/>
          <w:noProof/>
        </w:rPr>
        <w:t>RP-223540</w:t>
      </w:r>
      <w:r>
        <w:rPr>
          <w:rFonts w:eastAsia="MS Mincho" w:cs="Arial"/>
          <w:noProof/>
        </w:rPr>
        <w:t xml:space="preserve">, </w:t>
      </w:r>
      <w:r w:rsidRPr="00757646">
        <w:rPr>
          <w:rFonts w:eastAsia="MS Mincho" w:cs="Arial"/>
          <w:noProof/>
        </w:rPr>
        <w:t>3GPP TSG RAN Meeting #9</w:t>
      </w:r>
      <w:r>
        <w:rPr>
          <w:rFonts w:eastAsia="MS Mincho" w:cs="Arial"/>
          <w:noProof/>
        </w:rPr>
        <w:t>8</w:t>
      </w:r>
      <w:r w:rsidRPr="00757646">
        <w:rPr>
          <w:rFonts w:eastAsia="MS Mincho" w:cs="Arial"/>
          <w:noProof/>
        </w:rPr>
        <w:t>e</w:t>
      </w:r>
      <w:r w:rsidRPr="00937ADF">
        <w:rPr>
          <w:rFonts w:eastAsia="MS Mincho" w:cs="Arial"/>
          <w:noProof/>
        </w:rPr>
        <w:t xml:space="preserve">, </w:t>
      </w:r>
      <w:r w:rsidRPr="00757646">
        <w:rPr>
          <w:rFonts w:eastAsia="MS Mincho" w:cs="Arial"/>
          <w:noProof/>
        </w:rPr>
        <w:t xml:space="preserve">Electronic Meeting, </w:t>
      </w:r>
      <w:r>
        <w:rPr>
          <w:rFonts w:eastAsia="MS Mincho" w:cs="Arial"/>
          <w:noProof/>
        </w:rPr>
        <w:t>December</w:t>
      </w:r>
      <w:r w:rsidRPr="00757646">
        <w:rPr>
          <w:rFonts w:eastAsia="MS Mincho" w:cs="Arial"/>
          <w:noProof/>
        </w:rPr>
        <w:t xml:space="preserve"> 1</w:t>
      </w:r>
      <w:r>
        <w:rPr>
          <w:rFonts w:eastAsia="MS Mincho" w:cs="Arial"/>
          <w:noProof/>
        </w:rPr>
        <w:t>2</w:t>
      </w:r>
      <w:r w:rsidRPr="00757646">
        <w:rPr>
          <w:rFonts w:eastAsia="MS Mincho" w:cs="Arial"/>
          <w:noProof/>
        </w:rPr>
        <w:t>-</w:t>
      </w:r>
      <w:r>
        <w:rPr>
          <w:rFonts w:eastAsia="MS Mincho" w:cs="Arial"/>
          <w:noProof/>
        </w:rPr>
        <w:t>16</w:t>
      </w:r>
      <w:r w:rsidRPr="00757646">
        <w:rPr>
          <w:rFonts w:eastAsia="MS Mincho" w:cs="Arial"/>
          <w:noProof/>
        </w:rPr>
        <w:t>, 2022</w:t>
      </w:r>
      <w:r w:rsidRPr="00937ADF">
        <w:rPr>
          <w:rFonts w:eastAsia="MS Mincho" w:cs="Arial"/>
          <w:noProof/>
        </w:rPr>
        <w:t xml:space="preserve">; </w:t>
      </w:r>
      <w:r w:rsidRPr="00564D81">
        <w:rPr>
          <w:rFonts w:eastAsia="MS Mincho" w:cs="Arial"/>
          <w:noProof/>
        </w:rPr>
        <w:t>New WID: Network energy savings for NR</w:t>
      </w:r>
    </w:p>
    <w:p w14:paraId="53314E52" w14:textId="0B2C94BD" w:rsidR="006C3D60" w:rsidRPr="000E262C" w:rsidRDefault="006C3D60" w:rsidP="00424AF4">
      <w:pPr>
        <w:pStyle w:val="List2"/>
        <w:tabs>
          <w:tab w:val="clear" w:pos="2041"/>
          <w:tab w:val="num" w:pos="993"/>
        </w:tabs>
        <w:ind w:left="426" w:hanging="426"/>
        <w:rPr>
          <w:lang w:val="en-US"/>
        </w:rPr>
      </w:pPr>
      <w:r w:rsidRPr="000E262C">
        <w:rPr>
          <w:lang w:val="en-US"/>
        </w:rPr>
        <w:t>R1-2304334</w:t>
      </w:r>
      <w:r w:rsidRPr="000E262C">
        <w:rPr>
          <w:lang w:val="en-US"/>
        </w:rPr>
        <w:tab/>
        <w:t>LS on Cell DTX/DRX activation/deactivation</w:t>
      </w:r>
      <w:r w:rsidRPr="000E262C">
        <w:rPr>
          <w:lang w:val="en-US"/>
        </w:rPr>
        <w:tab/>
        <w:t>RAN2</w:t>
      </w:r>
      <w:r>
        <w:rPr>
          <w:lang w:val="en-US"/>
        </w:rPr>
        <w:t>, RAN1#113, Incheon, May 2023</w:t>
      </w:r>
    </w:p>
    <w:p w14:paraId="4D7E87CB" w14:textId="77777777" w:rsidR="00B95395" w:rsidRPr="007C1F04" w:rsidRDefault="00B95395" w:rsidP="00B95395">
      <w:pPr>
        <w:pStyle w:val="List2"/>
        <w:numPr>
          <w:ilvl w:val="0"/>
          <w:numId w:val="0"/>
        </w:numPr>
        <w:ind w:left="426"/>
        <w:rPr>
          <w:u w:val="single"/>
          <w:lang w:val="en-US"/>
        </w:rPr>
      </w:pPr>
      <w:bookmarkStart w:id="57" w:name="_Toc127532105"/>
      <w:bookmarkStart w:id="58" w:name="_Toc127532122"/>
      <w:bookmarkStart w:id="59" w:name="_Toc127535289"/>
      <w:bookmarkStart w:id="60" w:name="_Toc127532106"/>
      <w:bookmarkStart w:id="61" w:name="_Toc127532123"/>
      <w:bookmarkStart w:id="62" w:name="_Toc127535290"/>
      <w:bookmarkStart w:id="63" w:name="_Toc131706776"/>
      <w:bookmarkStart w:id="64" w:name="_Toc127461249"/>
      <w:bookmarkStart w:id="65" w:name="_Toc127461819"/>
      <w:bookmarkStart w:id="66" w:name="_Toc115188011"/>
      <w:bookmarkStart w:id="67" w:name="_Toc115188909"/>
      <w:bookmarkStart w:id="68" w:name="_Toc115188943"/>
      <w:bookmarkStart w:id="69" w:name="_Toc115188964"/>
      <w:bookmarkStart w:id="70" w:name="_Toc115188990"/>
      <w:bookmarkStart w:id="71" w:name="_Toc115189028"/>
      <w:bookmarkStart w:id="72" w:name="_Toc115196591"/>
      <w:bookmarkStart w:id="73" w:name="_Toc131706783"/>
      <w:bookmarkStart w:id="74" w:name="_Toc131706793"/>
      <w:bookmarkStart w:id="75" w:name="_Ref3164635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279A28" w14:textId="23575741" w:rsidR="0048678F" w:rsidRDefault="0048678F" w:rsidP="003933C5">
      <w:pPr>
        <w:jc w:val="center"/>
        <w:rPr>
          <w:rFonts w:ascii="Arial" w:eastAsia="Times New Roman" w:hAnsi="Arial" w:cs="Times New Roman"/>
          <w:sz w:val="36"/>
          <w:szCs w:val="20"/>
          <w:lang w:eastAsia="ja-JP"/>
        </w:rPr>
      </w:pPr>
      <w:r>
        <w:rPr>
          <w:rFonts w:eastAsia="MS Mincho" w:cs="Arial"/>
          <w:noProof/>
        </w:rPr>
        <w:br w:type="page"/>
      </w:r>
      <w:r w:rsidRPr="003162FA">
        <w:rPr>
          <w:rFonts w:ascii="Arial" w:eastAsia="Times New Roman" w:hAnsi="Arial" w:cs="Times New Roman"/>
          <w:sz w:val="36"/>
          <w:szCs w:val="20"/>
          <w:lang w:eastAsia="ja-JP"/>
        </w:rPr>
        <w:t>Annex</w:t>
      </w:r>
      <w:r>
        <w:rPr>
          <w:rFonts w:ascii="Arial" w:eastAsia="Times New Roman" w:hAnsi="Arial" w:cs="Times New Roman"/>
          <w:sz w:val="36"/>
          <w:szCs w:val="20"/>
          <w:lang w:eastAsia="ja-JP"/>
        </w:rPr>
        <w:t xml:space="preserve"> (Relevant agreements)</w:t>
      </w:r>
    </w:p>
    <w:p w14:paraId="4851D9BB" w14:textId="77777777" w:rsidR="0048678F" w:rsidRPr="00F42C71" w:rsidRDefault="0048678F" w:rsidP="0048678F">
      <w:pPr>
        <w:jc w:val="both"/>
        <w:rPr>
          <w:rFonts w:ascii="Arial" w:hAnsi="Arial"/>
          <w:u w:val="single"/>
        </w:rPr>
      </w:pPr>
      <w:r w:rsidRPr="00F42C71">
        <w:rPr>
          <w:rFonts w:ascii="Arial" w:hAnsi="Arial"/>
          <w:u w:val="single"/>
        </w:rPr>
        <w:t>RAN1#112</w:t>
      </w:r>
    </w:p>
    <w:p w14:paraId="071AB5AD" w14:textId="77777777" w:rsidR="0048678F" w:rsidRPr="00E22CF7" w:rsidRDefault="0048678F" w:rsidP="0048678F">
      <w:pPr>
        <w:rPr>
          <w:rFonts w:ascii="Times New Roman" w:eastAsiaTheme="minorHAnsi" w:hAnsi="Times New Roman" w:cs="Times New Roman"/>
          <w:b/>
          <w:bCs/>
          <w:sz w:val="20"/>
          <w:szCs w:val="20"/>
          <w:highlight w:val="green"/>
          <w:lang w:eastAsia="x-none"/>
        </w:rPr>
      </w:pPr>
      <w:r w:rsidRPr="00E22CF7">
        <w:rPr>
          <w:rFonts w:ascii="Times New Roman" w:eastAsiaTheme="minorHAnsi" w:hAnsi="Times New Roman" w:cs="Times New Roman"/>
          <w:b/>
          <w:bCs/>
          <w:sz w:val="20"/>
          <w:szCs w:val="20"/>
          <w:highlight w:val="green"/>
          <w:lang w:eastAsia="x-none"/>
        </w:rPr>
        <w:t>Agreement</w:t>
      </w:r>
    </w:p>
    <w:p w14:paraId="26B8600D" w14:textId="77777777" w:rsidR="0048678F" w:rsidRPr="00E22CF7" w:rsidRDefault="0048678F" w:rsidP="0048678F">
      <w:pPr>
        <w:numPr>
          <w:ilvl w:val="0"/>
          <w:numId w:val="39"/>
        </w:numPr>
        <w:suppressAutoHyphens/>
        <w:spacing w:after="0" w:line="240" w:lineRule="auto"/>
        <w:jc w:val="both"/>
        <w:rPr>
          <w:rFonts w:ascii="Times New Roman" w:eastAsiaTheme="minorHAnsi" w:hAnsi="Times New Roman" w:cs="Times New Roman"/>
          <w:sz w:val="20"/>
          <w:szCs w:val="20"/>
          <w:lang w:eastAsia="zh-CN"/>
        </w:rPr>
      </w:pPr>
      <w:r w:rsidRPr="00E22CF7">
        <w:rPr>
          <w:rFonts w:ascii="Times New Roman" w:eastAsiaTheme="minorHAnsi" w:hAnsi="Times New Roman" w:cs="Times New Roman"/>
          <w:sz w:val="20"/>
          <w:szCs w:val="20"/>
          <w:lang w:eastAsia="zh-CN"/>
        </w:rPr>
        <w:t>RAN1 continues discussion on the at least following physical layer related aspects of cell DTX/DRX aspects</w:t>
      </w:r>
    </w:p>
    <w:p w14:paraId="0A49A107" w14:textId="77777777" w:rsidR="0048678F" w:rsidRPr="00E22CF7" w:rsidRDefault="0048678F" w:rsidP="0048678F">
      <w:pPr>
        <w:numPr>
          <w:ilvl w:val="1"/>
          <w:numId w:val="39"/>
        </w:numPr>
        <w:suppressAutoHyphens/>
        <w:spacing w:after="0" w:line="240" w:lineRule="auto"/>
        <w:rPr>
          <w:rFonts w:ascii="Times New Roman" w:eastAsia="SimSun" w:hAnsi="Times New Roman" w:cs="Times New Roman"/>
          <w:sz w:val="20"/>
          <w:szCs w:val="20"/>
          <w:lang w:eastAsia="zh-CN"/>
        </w:rPr>
      </w:pPr>
      <w:r w:rsidRPr="00E22CF7">
        <w:rPr>
          <w:rFonts w:ascii="Times New Roman" w:eastAsia="SimSun" w:hAnsi="Times New Roman" w:cs="Times New Roman"/>
          <w:sz w:val="20"/>
          <w:szCs w:val="20"/>
          <w:lang w:eastAsia="zh-CN"/>
        </w:rPr>
        <w:t xml:space="preserve">physical layer signals/channels and procedures expected to be impacted during non-active periods of cell DTX/DRX </w:t>
      </w:r>
    </w:p>
    <w:p w14:paraId="45B335E7" w14:textId="77777777" w:rsidR="0048678F" w:rsidRPr="00E22CF7" w:rsidRDefault="0048678F" w:rsidP="0048678F">
      <w:pPr>
        <w:numPr>
          <w:ilvl w:val="2"/>
          <w:numId w:val="39"/>
        </w:numPr>
        <w:suppressAutoHyphens/>
        <w:spacing w:after="0" w:line="240" w:lineRule="auto"/>
        <w:rPr>
          <w:rFonts w:ascii="Times New Roman" w:eastAsia="SimSun" w:hAnsi="Times New Roman" w:cs="Times New Roman"/>
          <w:sz w:val="20"/>
          <w:szCs w:val="20"/>
          <w:lang w:eastAsia="zh-CN"/>
        </w:rPr>
      </w:pPr>
      <w:r w:rsidRPr="00E22CF7">
        <w:rPr>
          <w:rFonts w:ascii="Times New Roman" w:eastAsia="SimSun" w:hAnsi="Times New Roman" w:cs="Times New Roman"/>
          <w:sz w:val="20"/>
          <w:szCs w:val="20"/>
          <w:lang w:eastAsia="zh-CN"/>
        </w:rPr>
        <w:t>consider impact to at least KPIs from the SI when physical layers/signals/channels are impacted by cell DTX/DRX</w:t>
      </w:r>
    </w:p>
    <w:p w14:paraId="0727A6C7" w14:textId="77777777" w:rsidR="0048678F" w:rsidRPr="00E22CF7" w:rsidRDefault="0048678F" w:rsidP="0048678F">
      <w:pPr>
        <w:numPr>
          <w:ilvl w:val="0"/>
          <w:numId w:val="39"/>
        </w:numPr>
        <w:suppressAutoHyphens/>
        <w:spacing w:after="0" w:line="240" w:lineRule="auto"/>
        <w:jc w:val="both"/>
        <w:rPr>
          <w:rFonts w:ascii="Times New Roman" w:eastAsiaTheme="minorHAnsi" w:hAnsi="Times New Roman" w:cs="Times New Roman"/>
          <w:sz w:val="20"/>
          <w:szCs w:val="20"/>
          <w:lang w:eastAsia="zh-CN"/>
        </w:rPr>
      </w:pPr>
      <w:r w:rsidRPr="00E22CF7">
        <w:rPr>
          <w:rFonts w:ascii="Times New Roman" w:eastAsiaTheme="minorHAnsi" w:hAnsi="Times New Roman" w:cs="Times New Roman"/>
          <w:sz w:val="20"/>
          <w:szCs w:val="20"/>
          <w:lang w:eastAsia="zh-CN"/>
        </w:rPr>
        <w:t>Further discussions on other aspects are not precluded</w:t>
      </w:r>
    </w:p>
    <w:p w14:paraId="1735DB30" w14:textId="77777777" w:rsidR="0048678F" w:rsidRDefault="0048678F" w:rsidP="0048678F">
      <w:pPr>
        <w:pStyle w:val="BodyText"/>
      </w:pPr>
    </w:p>
    <w:p w14:paraId="08269170" w14:textId="77777777" w:rsidR="0048678F" w:rsidRPr="003162FA" w:rsidRDefault="0048678F" w:rsidP="0048678F">
      <w:pPr>
        <w:suppressAutoHyphens/>
        <w:spacing w:after="0"/>
        <w:rPr>
          <w:rFonts w:eastAsiaTheme="minorHAnsi" w:cs="Times"/>
          <w:b/>
          <w:bCs/>
          <w:sz w:val="20"/>
          <w:szCs w:val="20"/>
          <w:highlight w:val="green"/>
          <w:lang w:eastAsia="zh-CN"/>
        </w:rPr>
      </w:pPr>
      <w:r w:rsidRPr="003162FA">
        <w:rPr>
          <w:rFonts w:eastAsiaTheme="minorHAnsi" w:cs="Times"/>
          <w:b/>
          <w:bCs/>
          <w:sz w:val="20"/>
          <w:szCs w:val="20"/>
          <w:highlight w:val="green"/>
          <w:lang w:eastAsia="zh-CN"/>
        </w:rPr>
        <w:t>Agreement</w:t>
      </w:r>
    </w:p>
    <w:p w14:paraId="4AA636BA" w14:textId="77777777" w:rsidR="0048678F" w:rsidRPr="003162FA" w:rsidRDefault="0048678F" w:rsidP="0048678F">
      <w:pPr>
        <w:spacing w:after="0"/>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At least the following candidate signals/channels for connected mode UEs</w:t>
      </w:r>
      <w:r w:rsidRPr="003162FA">
        <w:rPr>
          <w:rFonts w:ascii="Times New Roman" w:eastAsia="Malgun Gothic" w:hAnsi="Times New Roman"/>
          <w:sz w:val="20"/>
          <w:szCs w:val="20"/>
          <w:lang w:eastAsia="zh-CN"/>
        </w:rPr>
        <w:t>,</w:t>
      </w:r>
      <w:r w:rsidRPr="003162FA">
        <w:rPr>
          <w:rFonts w:ascii="Times New Roman" w:eastAsiaTheme="minorHAnsi" w:hAnsi="Times New Roman"/>
          <w:sz w:val="20"/>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58E4A85" w14:textId="77777777" w:rsidR="0048678F" w:rsidRPr="003162FA" w:rsidRDefault="0048678F" w:rsidP="0048678F">
      <w:pPr>
        <w:numPr>
          <w:ilvl w:val="0"/>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DL</w:t>
      </w:r>
    </w:p>
    <w:p w14:paraId="1ECDBF10"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Periodic/Semi-persistent CSI-RS (including TRS)</w:t>
      </w:r>
    </w:p>
    <w:p w14:paraId="56278E1F"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PRS</w:t>
      </w:r>
    </w:p>
    <w:p w14:paraId="468415C6"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PDCCH scrambled with UE specific RNTI</w:t>
      </w:r>
    </w:p>
    <w:p w14:paraId="544436F4"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PDCCH in Type-3 CSS</w:t>
      </w:r>
    </w:p>
    <w:p w14:paraId="57FD094D"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SPS-PDSCH</w:t>
      </w:r>
    </w:p>
    <w:p w14:paraId="215AC6EF" w14:textId="77777777" w:rsidR="0048678F" w:rsidRPr="003162FA" w:rsidRDefault="0048678F" w:rsidP="0048678F">
      <w:pPr>
        <w:numPr>
          <w:ilvl w:val="0"/>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UL</w:t>
      </w:r>
    </w:p>
    <w:p w14:paraId="328E913F"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SR</w:t>
      </w:r>
    </w:p>
    <w:p w14:paraId="2266F03C"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Periodic/Semi-persistent CSI report</w:t>
      </w:r>
    </w:p>
    <w:p w14:paraId="621AF92C"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Periodic/Semi-persistent SRS</w:t>
      </w:r>
    </w:p>
    <w:p w14:paraId="3FD602D9" w14:textId="77777777" w:rsidR="0048678F" w:rsidRPr="003162FA" w:rsidRDefault="0048678F" w:rsidP="0048678F">
      <w:pPr>
        <w:numPr>
          <w:ilvl w:val="1"/>
          <w:numId w:val="38"/>
        </w:numPr>
        <w:suppressAutoHyphens/>
        <w:spacing w:after="0" w:line="252" w:lineRule="auto"/>
        <w:jc w:val="both"/>
        <w:rPr>
          <w:rFonts w:ascii="Times New Roman" w:eastAsiaTheme="minorHAnsi" w:hAnsi="Times New Roman"/>
          <w:sz w:val="20"/>
          <w:szCs w:val="20"/>
          <w:lang w:eastAsia="zh-CN"/>
        </w:rPr>
      </w:pPr>
      <w:r w:rsidRPr="003162FA">
        <w:rPr>
          <w:rFonts w:ascii="Times New Roman" w:eastAsiaTheme="minorHAnsi" w:hAnsi="Times New Roman"/>
          <w:sz w:val="20"/>
          <w:szCs w:val="20"/>
          <w:lang w:eastAsia="zh-CN"/>
        </w:rPr>
        <w:t>CG-PUSCH</w:t>
      </w:r>
    </w:p>
    <w:p w14:paraId="10380DF6" w14:textId="77777777" w:rsidR="0048678F" w:rsidRPr="003162FA" w:rsidRDefault="0048678F" w:rsidP="0048678F">
      <w:pPr>
        <w:suppressAutoHyphens/>
        <w:spacing w:after="0"/>
        <w:rPr>
          <w:rFonts w:ascii="Arial" w:eastAsia="Times New Roman" w:hAnsi="Arial" w:cs="Times New Roman"/>
          <w:sz w:val="20"/>
          <w:szCs w:val="20"/>
          <w:lang w:eastAsia="ja-JP"/>
        </w:rPr>
      </w:pPr>
      <w:r w:rsidRPr="003162FA">
        <w:rPr>
          <w:rFonts w:ascii="Times New Roman" w:eastAsiaTheme="minorHAnsi" w:hAnsi="Times New Roman"/>
          <w:sz w:val="20"/>
          <w:szCs w:val="20"/>
          <w:lang w:eastAsia="zh-CN"/>
        </w:rPr>
        <w:t>Other signals/channels are not precluded</w:t>
      </w:r>
    </w:p>
    <w:p w14:paraId="517C42A6" w14:textId="77777777" w:rsidR="0048678F" w:rsidRDefault="0048678F" w:rsidP="0048678F"/>
    <w:p w14:paraId="2715C18F" w14:textId="77777777" w:rsidR="0048678F" w:rsidRPr="00F42C71" w:rsidRDefault="0048678F" w:rsidP="0048678F">
      <w:pPr>
        <w:jc w:val="both"/>
        <w:rPr>
          <w:rFonts w:ascii="Arial" w:hAnsi="Arial"/>
          <w:u w:val="single"/>
        </w:rPr>
      </w:pPr>
      <w:r w:rsidRPr="00F42C71">
        <w:rPr>
          <w:rFonts w:ascii="Arial" w:hAnsi="Arial"/>
          <w:u w:val="single"/>
        </w:rPr>
        <w:t>RAN1#112</w:t>
      </w:r>
      <w:r>
        <w:rPr>
          <w:rFonts w:ascii="Arial" w:hAnsi="Arial"/>
          <w:u w:val="single"/>
        </w:rPr>
        <w:t xml:space="preserve">bis-e: </w:t>
      </w:r>
    </w:p>
    <w:bookmarkEnd w:id="0"/>
    <w:bookmarkEnd w:id="75"/>
    <w:p w14:paraId="60D75F44" w14:textId="77777777" w:rsidR="00B95395" w:rsidRDefault="00B95395" w:rsidP="00B95395"/>
    <w:p w14:paraId="32EC7D97" w14:textId="77777777" w:rsidR="0048678F" w:rsidRPr="000B1EA7" w:rsidRDefault="0048678F" w:rsidP="0048678F">
      <w:pPr>
        <w:spacing w:after="0" w:line="240" w:lineRule="auto"/>
        <w:rPr>
          <w:rFonts w:ascii="Times" w:eastAsia="Batang" w:hAnsi="Times" w:cs="Times"/>
          <w:b/>
          <w:bCs/>
          <w:sz w:val="20"/>
          <w:szCs w:val="24"/>
          <w:highlight w:val="green"/>
          <w:lang w:val="en-GB" w:eastAsia="x-none"/>
        </w:rPr>
      </w:pPr>
      <w:r w:rsidRPr="000B1EA7">
        <w:rPr>
          <w:rFonts w:ascii="Times" w:eastAsia="Batang" w:hAnsi="Times" w:cs="Times"/>
          <w:b/>
          <w:bCs/>
          <w:sz w:val="20"/>
          <w:szCs w:val="24"/>
          <w:highlight w:val="green"/>
          <w:lang w:val="en-GB" w:eastAsia="x-none"/>
        </w:rPr>
        <w:t>Agreement</w:t>
      </w:r>
    </w:p>
    <w:p w14:paraId="359AD66F" w14:textId="77777777" w:rsidR="0048678F" w:rsidRPr="000B1EA7" w:rsidRDefault="0048678F" w:rsidP="0048678F">
      <w:pPr>
        <w:spacing w:after="0" w:line="240" w:lineRule="auto"/>
        <w:jc w:val="both"/>
        <w:rPr>
          <w:rFonts w:ascii="Times" w:eastAsia="Batang" w:hAnsi="Times" w:cs="Times"/>
          <w:sz w:val="20"/>
          <w:szCs w:val="20"/>
          <w:lang w:val="en-GB" w:eastAsia="zh-CN"/>
        </w:rPr>
      </w:pPr>
      <w:r w:rsidRPr="000B1EA7">
        <w:rPr>
          <w:rFonts w:ascii="Times" w:eastAsia="Batang" w:hAnsi="Times" w:cs="Times"/>
          <w:sz w:val="20"/>
          <w:szCs w:val="20"/>
          <w:lang w:val="en-GB"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0212C3B" w14:textId="77777777" w:rsidR="0048678F" w:rsidRPr="000B1EA7" w:rsidRDefault="0048678F" w:rsidP="0048678F">
      <w:pPr>
        <w:numPr>
          <w:ilvl w:val="0"/>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Periodic/Semi-persistent CSI-RS configured in CSI report configuration in CSI-ReportConfig with reportQuantity including RI (for CSI reporting)</w:t>
      </w:r>
    </w:p>
    <w:p w14:paraId="63AA86FB" w14:textId="77777777" w:rsidR="0048678F" w:rsidRPr="000B1EA7" w:rsidRDefault="0048678F" w:rsidP="0048678F">
      <w:pPr>
        <w:numPr>
          <w:ilvl w:val="0"/>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FFS:</w:t>
      </w:r>
    </w:p>
    <w:p w14:paraId="20094A30"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PDCCH in USS</w:t>
      </w:r>
    </w:p>
    <w:p w14:paraId="1F6FE8B5" w14:textId="77777777" w:rsidR="0048678F" w:rsidRPr="000B1EA7" w:rsidRDefault="0048678F" w:rsidP="0048678F">
      <w:pPr>
        <w:numPr>
          <w:ilvl w:val="2"/>
          <w:numId w:val="35"/>
        </w:numPr>
        <w:suppressAutoHyphens/>
        <w:overflowPunct w:val="0"/>
        <w:spacing w:after="0" w:line="240" w:lineRule="auto"/>
        <w:rPr>
          <w:rFonts w:ascii="Times" w:eastAsia="Malgun Gothic" w:hAnsi="Times" w:cs="Times"/>
          <w:strike/>
          <w:sz w:val="20"/>
          <w:szCs w:val="20"/>
          <w:lang w:val="en-GB" w:eastAsia="x-none"/>
        </w:rPr>
      </w:pPr>
      <w:r w:rsidRPr="000B1EA7">
        <w:rPr>
          <w:rFonts w:ascii="Times" w:eastAsia="Malgun Gothic" w:hAnsi="Times" w:cs="Times"/>
          <w:sz w:val="20"/>
          <w:szCs w:val="20"/>
          <w:lang w:val="en-GB" w:eastAsia="x-none"/>
        </w:rPr>
        <w:t>UE behavior</w:t>
      </w:r>
      <w:r w:rsidRPr="000B1EA7">
        <w:rPr>
          <w:rFonts w:ascii="Times" w:eastAsia="SimSun" w:hAnsi="Times" w:cs="Times"/>
          <w:sz w:val="20"/>
          <w:szCs w:val="20"/>
          <w:lang w:val="en-GB" w:eastAsia="zh-CN"/>
        </w:rPr>
        <w:t xml:space="preserve"> for retransmission</w:t>
      </w:r>
    </w:p>
    <w:p w14:paraId="233F365B" w14:textId="77777777" w:rsidR="0048678F" w:rsidRPr="000B1EA7" w:rsidRDefault="0048678F" w:rsidP="0048678F">
      <w:pPr>
        <w:numPr>
          <w:ilvl w:val="2"/>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if some specific RNTI scrambled PDCCH in USS will be excluded from cell DTX operation</w:t>
      </w:r>
    </w:p>
    <w:p w14:paraId="4B15094A"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PDCCH in Type-3 CSS</w:t>
      </w:r>
    </w:p>
    <w:p w14:paraId="0112399F" w14:textId="77777777" w:rsidR="0048678F" w:rsidRPr="000B1EA7" w:rsidRDefault="0048678F" w:rsidP="0048678F">
      <w:pPr>
        <w:numPr>
          <w:ilvl w:val="2"/>
          <w:numId w:val="35"/>
        </w:numPr>
        <w:suppressAutoHyphens/>
        <w:overflowPunct w:val="0"/>
        <w:spacing w:after="0" w:line="240" w:lineRule="auto"/>
        <w:rPr>
          <w:rFonts w:ascii="Times" w:eastAsia="Malgun Gothic" w:hAnsi="Times" w:cs="Times"/>
          <w:strike/>
          <w:sz w:val="20"/>
          <w:szCs w:val="20"/>
          <w:lang w:val="en-GB" w:eastAsia="x-none"/>
        </w:rPr>
      </w:pPr>
      <w:r w:rsidRPr="000B1EA7">
        <w:rPr>
          <w:rFonts w:ascii="Times" w:eastAsia="Malgun Gothic" w:hAnsi="Times" w:cs="Times"/>
          <w:sz w:val="20"/>
          <w:szCs w:val="20"/>
          <w:lang w:val="en-GB" w:eastAsia="x-none"/>
        </w:rPr>
        <w:t>UE behavior</w:t>
      </w:r>
      <w:r w:rsidRPr="000B1EA7">
        <w:rPr>
          <w:rFonts w:ascii="Times" w:eastAsia="SimSun" w:hAnsi="Times" w:cs="Times"/>
          <w:sz w:val="20"/>
          <w:szCs w:val="20"/>
          <w:lang w:val="en-GB" w:eastAsia="zh-CN"/>
        </w:rPr>
        <w:t xml:space="preserve"> for retransmission</w:t>
      </w:r>
    </w:p>
    <w:p w14:paraId="33394528" w14:textId="77777777" w:rsidR="0048678F" w:rsidRPr="000B1EA7" w:rsidRDefault="0048678F" w:rsidP="0048678F">
      <w:pPr>
        <w:numPr>
          <w:ilvl w:val="2"/>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if some specific RNTI scrambled PDCCH in Type-3 CSS will be excluded from cell DTX operation</w:t>
      </w:r>
    </w:p>
    <w:p w14:paraId="371ED272"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PRS</w:t>
      </w:r>
    </w:p>
    <w:p w14:paraId="347C2643"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CSI-RS configured by measObjectNR (for RRM)</w:t>
      </w:r>
    </w:p>
    <w:p w14:paraId="19D49509"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CSI-RS associated with RadioLinkMonitoringConfig and BeamFailureDectection (for RLM and BFD)</w:t>
      </w:r>
    </w:p>
    <w:p w14:paraId="0B6632B2"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Periodic CSI-RS configured with trs-Info ‘true’ (for tracking)</w:t>
      </w:r>
    </w:p>
    <w:p w14:paraId="6AB38185" w14:textId="77777777" w:rsidR="0048678F" w:rsidRPr="000B1EA7" w:rsidRDefault="0048678F" w:rsidP="0048678F">
      <w:pPr>
        <w:numPr>
          <w:ilvl w:val="1"/>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Periodic/Semi-persistent CSI-RS (for BM)</w:t>
      </w:r>
    </w:p>
    <w:p w14:paraId="037CC7A0" w14:textId="77777777" w:rsidR="0048678F" w:rsidRPr="000B1EA7" w:rsidRDefault="0048678F" w:rsidP="0048678F">
      <w:pPr>
        <w:numPr>
          <w:ilvl w:val="2"/>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FFS on how to differentiate (if needed) with other CSI-RS used for CSI reports for BM</w:t>
      </w:r>
    </w:p>
    <w:p w14:paraId="650305B6" w14:textId="77777777" w:rsidR="0048678F" w:rsidRPr="000B1EA7" w:rsidRDefault="0048678F" w:rsidP="0048678F">
      <w:pPr>
        <w:numPr>
          <w:ilvl w:val="0"/>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FFS: Whether the same or different UE behavior is applicable with or without C-DRX</w:t>
      </w:r>
    </w:p>
    <w:p w14:paraId="3FFF06FC" w14:textId="77777777" w:rsidR="0048678F" w:rsidRPr="000B1EA7" w:rsidRDefault="0048678F" w:rsidP="0048678F">
      <w:pPr>
        <w:numPr>
          <w:ilvl w:val="0"/>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FFS: Whether the list of impacted signals/channels can be configurable</w:t>
      </w:r>
    </w:p>
    <w:p w14:paraId="35BBD2A8" w14:textId="77777777" w:rsidR="0048678F" w:rsidRPr="000B1EA7" w:rsidRDefault="0048678F" w:rsidP="0048678F">
      <w:pPr>
        <w:numPr>
          <w:ilvl w:val="0"/>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FFS: Whether there will be exception case(s) for UE receiving and/or processing listed signals/channels during non-active periods of DTX</w:t>
      </w:r>
    </w:p>
    <w:p w14:paraId="018D3A19" w14:textId="77777777" w:rsidR="0048678F" w:rsidRPr="000B1EA7" w:rsidRDefault="0048678F" w:rsidP="0048678F">
      <w:pPr>
        <w:numPr>
          <w:ilvl w:val="0"/>
          <w:numId w:val="35"/>
        </w:numPr>
        <w:suppressAutoHyphens/>
        <w:overflowPunct w:val="0"/>
        <w:spacing w:after="0" w:line="240" w:lineRule="auto"/>
        <w:jc w:val="both"/>
        <w:rPr>
          <w:rFonts w:ascii="Times" w:eastAsia="Malgun Gothic" w:hAnsi="Times" w:cs="Times"/>
          <w:sz w:val="20"/>
          <w:szCs w:val="20"/>
          <w:lang w:val="en-GB" w:eastAsia="ko-KR"/>
        </w:rPr>
      </w:pPr>
      <w:r w:rsidRPr="000B1EA7">
        <w:rPr>
          <w:rFonts w:ascii="Times" w:eastAsia="Malgun Gothic" w:hAnsi="Times" w:cs="Times"/>
          <w:sz w:val="20"/>
          <w:szCs w:val="20"/>
          <w:lang w:val="en-GB" w:eastAsia="ko-KR"/>
        </w:rPr>
        <w:t>FFS: RAN1 to consider impact on system if the channels/signals are not transmitted during non-active period</w:t>
      </w:r>
    </w:p>
    <w:p w14:paraId="21FA7400" w14:textId="77777777" w:rsidR="0048678F" w:rsidRPr="000B1EA7" w:rsidRDefault="0048678F" w:rsidP="0048678F">
      <w:pPr>
        <w:spacing w:after="0" w:line="240" w:lineRule="auto"/>
        <w:rPr>
          <w:rFonts w:ascii="Times" w:eastAsia="Batang" w:hAnsi="Times" w:cs="Times"/>
          <w:sz w:val="20"/>
          <w:szCs w:val="24"/>
          <w:lang w:val="en-GB" w:eastAsia="x-none"/>
        </w:rPr>
      </w:pPr>
    </w:p>
    <w:p w14:paraId="2040F035" w14:textId="77777777" w:rsidR="0048678F" w:rsidRPr="000B1EA7" w:rsidRDefault="0048678F" w:rsidP="0048678F">
      <w:pPr>
        <w:spacing w:after="0" w:line="240" w:lineRule="auto"/>
        <w:rPr>
          <w:rFonts w:ascii="Times" w:eastAsia="Batang" w:hAnsi="Times" w:cs="Times"/>
          <w:b/>
          <w:sz w:val="20"/>
          <w:szCs w:val="24"/>
          <w:highlight w:val="green"/>
          <w:lang w:val="en-GB" w:eastAsia="x-none"/>
        </w:rPr>
      </w:pPr>
      <w:r w:rsidRPr="000B1EA7">
        <w:rPr>
          <w:rFonts w:ascii="Times" w:eastAsia="Batang" w:hAnsi="Times" w:cs="Times"/>
          <w:b/>
          <w:sz w:val="20"/>
          <w:szCs w:val="24"/>
          <w:highlight w:val="green"/>
          <w:lang w:val="en-GB" w:eastAsia="x-none"/>
        </w:rPr>
        <w:t>Agreement</w:t>
      </w:r>
    </w:p>
    <w:p w14:paraId="764BD5D0" w14:textId="77777777" w:rsidR="0048678F" w:rsidRPr="000B1EA7" w:rsidRDefault="0048678F" w:rsidP="0048678F">
      <w:p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Study L1 signalling for enhancing cell DTX/DRX including activation/deactivation for a single configuration which will have the following characteristics:</w:t>
      </w:r>
    </w:p>
    <w:p w14:paraId="565689BB" w14:textId="77777777" w:rsidR="0048678F" w:rsidRPr="000B1EA7" w:rsidRDefault="0048678F" w:rsidP="0048678F">
      <w:pPr>
        <w:numPr>
          <w:ilvl w:val="0"/>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PDCCH based signaling</w:t>
      </w:r>
    </w:p>
    <w:p w14:paraId="50EEA239" w14:textId="77777777" w:rsidR="0048678F" w:rsidRPr="000B1EA7" w:rsidRDefault="0048678F" w:rsidP="0048678F">
      <w:pPr>
        <w:numPr>
          <w:ilvl w:val="1"/>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Whether enhancing legacy DCI or introducing new DCI</w:t>
      </w:r>
    </w:p>
    <w:p w14:paraId="6DD255FF" w14:textId="77777777" w:rsidR="0048678F" w:rsidRPr="000B1EA7" w:rsidRDefault="0048678F" w:rsidP="0048678F">
      <w:pPr>
        <w:numPr>
          <w:ilvl w:val="1"/>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DCI content</w:t>
      </w:r>
    </w:p>
    <w:p w14:paraId="393A0A0E" w14:textId="77777777" w:rsidR="0048678F" w:rsidRPr="000B1EA7" w:rsidRDefault="0048678F" w:rsidP="0048678F">
      <w:pPr>
        <w:numPr>
          <w:ilvl w:val="1"/>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Whether L1 signaling is UE specific DCI or group common DCI</w:t>
      </w:r>
    </w:p>
    <w:p w14:paraId="02A07CA7" w14:textId="77777777" w:rsidR="0048678F" w:rsidRPr="000B1EA7" w:rsidRDefault="0048678F" w:rsidP="0048678F">
      <w:pPr>
        <w:numPr>
          <w:ilvl w:val="1"/>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Timer or validity duration based activation/deactivation of cell DTX/DRX</w:t>
      </w:r>
    </w:p>
    <w:p w14:paraId="61DAC3AB" w14:textId="77777777" w:rsidR="0048678F" w:rsidRPr="000B1EA7" w:rsidRDefault="0048678F" w:rsidP="0048678F">
      <w:pPr>
        <w:numPr>
          <w:ilvl w:val="1"/>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 xml:space="preserve">FFS: whether to specify a reference time for activation/deactivation of cell DTX/DRX </w:t>
      </w:r>
    </w:p>
    <w:p w14:paraId="20916F63" w14:textId="77777777" w:rsidR="0048678F" w:rsidRPr="000B1EA7" w:rsidRDefault="0048678F" w:rsidP="0048678F">
      <w:pPr>
        <w:numPr>
          <w:ilvl w:val="1"/>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If multiple Cell DTX/DRX patterns are to be supported</w:t>
      </w:r>
    </w:p>
    <w:p w14:paraId="066AE18A" w14:textId="77777777" w:rsidR="0048678F" w:rsidRPr="000B1EA7" w:rsidRDefault="0048678F" w:rsidP="0048678F">
      <w:pPr>
        <w:numPr>
          <w:ilvl w:val="0"/>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on detailed UE behavior upon reception of L1 signaling at least including application delay</w:t>
      </w:r>
    </w:p>
    <w:p w14:paraId="4D5B23EE" w14:textId="77777777" w:rsidR="0048678F" w:rsidRPr="000B1EA7" w:rsidRDefault="0048678F" w:rsidP="0048678F">
      <w:pPr>
        <w:numPr>
          <w:ilvl w:val="0"/>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 xml:space="preserve">FFS </w:t>
      </w:r>
      <w:r w:rsidRPr="000B1EA7">
        <w:rPr>
          <w:rFonts w:ascii="Times New Roman" w:eastAsia="Batang" w:hAnsi="Times New Roman" w:cs="Times New Roman" w:hint="eastAsia"/>
          <w:sz w:val="20"/>
          <w:szCs w:val="20"/>
          <w:lang w:val="en-GB" w:eastAsia="zh-CN"/>
        </w:rPr>
        <w:t>how to</w:t>
      </w:r>
      <w:r w:rsidRPr="000B1EA7">
        <w:rPr>
          <w:rFonts w:ascii="Times New Roman" w:eastAsia="Malgun Gothic" w:hAnsi="Times New Roman" w:cs="Times New Roman"/>
          <w:sz w:val="20"/>
          <w:szCs w:val="20"/>
          <w:lang w:val="en-GB" w:eastAsia="ko-KR"/>
        </w:rPr>
        <w:t xml:space="preserve"> </w:t>
      </w:r>
      <w:r w:rsidRPr="000B1EA7">
        <w:rPr>
          <w:rFonts w:ascii="Times New Roman" w:eastAsia="Batang" w:hAnsi="Times New Roman" w:cs="Times New Roman" w:hint="eastAsia"/>
          <w:sz w:val="20"/>
          <w:szCs w:val="20"/>
          <w:lang w:val="en-GB" w:eastAsia="zh-CN"/>
        </w:rPr>
        <w:t xml:space="preserve">guarantee reliability of the </w:t>
      </w:r>
      <w:r w:rsidRPr="000B1EA7">
        <w:rPr>
          <w:rFonts w:ascii="Times New Roman" w:eastAsia="Malgun Gothic" w:hAnsi="Times New Roman" w:cs="Times New Roman"/>
          <w:sz w:val="20"/>
          <w:szCs w:val="20"/>
          <w:lang w:val="en-GB" w:eastAsia="ko-KR"/>
        </w:rPr>
        <w:t>L1 signaling</w:t>
      </w:r>
    </w:p>
    <w:p w14:paraId="3C7E2F2A" w14:textId="77777777" w:rsidR="0048678F" w:rsidRPr="000B1EA7" w:rsidRDefault="0048678F" w:rsidP="0048678F">
      <w:pPr>
        <w:numPr>
          <w:ilvl w:val="0"/>
          <w:numId w:val="36"/>
        </w:numPr>
        <w:suppressAutoHyphens/>
        <w:spacing w:after="0" w:line="254"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whether the L1 signal can be monitored in non-active periods.</w:t>
      </w:r>
    </w:p>
    <w:p w14:paraId="4FE41F98" w14:textId="77777777" w:rsidR="0048678F" w:rsidRPr="000B1EA7" w:rsidRDefault="0048678F" w:rsidP="0048678F">
      <w:pPr>
        <w:spacing w:after="0" w:line="240" w:lineRule="auto"/>
        <w:rPr>
          <w:rFonts w:ascii="Times" w:eastAsia="Batang" w:hAnsi="Times" w:cs="Times"/>
          <w:sz w:val="20"/>
          <w:szCs w:val="24"/>
          <w:lang w:val="en-GB" w:eastAsia="x-none"/>
        </w:rPr>
      </w:pPr>
    </w:p>
    <w:p w14:paraId="7D9CF30A" w14:textId="77777777" w:rsidR="0048678F" w:rsidRPr="000B1EA7" w:rsidRDefault="0048678F" w:rsidP="0048678F">
      <w:pPr>
        <w:spacing w:after="0" w:line="240" w:lineRule="auto"/>
        <w:rPr>
          <w:rFonts w:ascii="Times" w:eastAsia="Batang" w:hAnsi="Times" w:cs="Times"/>
          <w:b/>
          <w:sz w:val="20"/>
          <w:szCs w:val="24"/>
          <w:highlight w:val="green"/>
          <w:lang w:val="en-GB" w:eastAsia="x-none"/>
        </w:rPr>
      </w:pPr>
      <w:r w:rsidRPr="000B1EA7">
        <w:rPr>
          <w:rFonts w:ascii="Times" w:eastAsia="Batang" w:hAnsi="Times" w:cs="Times"/>
          <w:b/>
          <w:sz w:val="20"/>
          <w:szCs w:val="24"/>
          <w:highlight w:val="green"/>
          <w:lang w:val="en-GB" w:eastAsia="x-none"/>
        </w:rPr>
        <w:t>Agreement</w:t>
      </w:r>
    </w:p>
    <w:p w14:paraId="0924CB42" w14:textId="77777777" w:rsidR="0048678F" w:rsidRPr="000B1EA7" w:rsidRDefault="0048678F" w:rsidP="0048678F">
      <w:pPr>
        <w:spacing w:after="0" w:line="240" w:lineRule="auto"/>
        <w:jc w:val="both"/>
        <w:rPr>
          <w:rFonts w:ascii="Times New Roman" w:eastAsia="Batang" w:hAnsi="Times New Roman" w:cs="Times New Roman"/>
          <w:sz w:val="20"/>
          <w:szCs w:val="20"/>
          <w:lang w:val="en-GB" w:eastAsia="zh-CN"/>
        </w:rPr>
      </w:pPr>
      <w:r w:rsidRPr="000B1EA7">
        <w:rPr>
          <w:rFonts w:ascii="Times New Roman" w:eastAsia="Batang" w:hAnsi="Times New Roman" w:cs="Times New Roman"/>
          <w:sz w:val="20"/>
          <w:szCs w:val="20"/>
          <w:lang w:val="en-GB"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39669EF"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Periodic/Semi-persistent CSI report</w:t>
      </w:r>
    </w:p>
    <w:p w14:paraId="1C6AD031"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 xml:space="preserve">Periodic/Semi-persistent SRS </w:t>
      </w:r>
    </w:p>
    <w:p w14:paraId="48C19D86" w14:textId="77777777" w:rsidR="0048678F" w:rsidRPr="000B1EA7" w:rsidRDefault="0048678F" w:rsidP="0048678F">
      <w:pPr>
        <w:numPr>
          <w:ilvl w:val="1"/>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SRS for positioning</w:t>
      </w:r>
    </w:p>
    <w:p w14:paraId="46C50096"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w:t>
      </w:r>
    </w:p>
    <w:p w14:paraId="0EB44B58" w14:textId="77777777" w:rsidR="0048678F" w:rsidRPr="000B1EA7" w:rsidRDefault="0048678F" w:rsidP="0048678F">
      <w:pPr>
        <w:numPr>
          <w:ilvl w:val="1"/>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HARQ feedback for SPS PDSCH</w:t>
      </w:r>
    </w:p>
    <w:p w14:paraId="35BB2212"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whether there will be exception case(s) for UE transmitting listed signals/channels during non-active periods of DRX</w:t>
      </w:r>
    </w:p>
    <w:p w14:paraId="6716E1BB"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Whether the listed</w:t>
      </w:r>
      <w:r w:rsidRPr="000B1EA7">
        <w:rPr>
          <w:rFonts w:ascii="Times New Roman" w:eastAsia="Malgun Gothic" w:hAnsi="Times New Roman" w:cs="Times New Roman"/>
          <w:color w:val="C00000"/>
          <w:sz w:val="20"/>
          <w:szCs w:val="20"/>
          <w:lang w:val="en-GB" w:eastAsia="ko-KR"/>
        </w:rPr>
        <w:t xml:space="preserve"> </w:t>
      </w:r>
      <w:r w:rsidRPr="000B1EA7">
        <w:rPr>
          <w:rFonts w:ascii="Times New Roman" w:eastAsia="Malgun Gothic" w:hAnsi="Times New Roman" w:cs="Times New Roman"/>
          <w:sz w:val="20"/>
          <w:szCs w:val="20"/>
          <w:lang w:val="en-GB" w:eastAsia="ko-KR"/>
        </w:rPr>
        <w:t>signals/channels can be configurable by gNB</w:t>
      </w:r>
    </w:p>
    <w:p w14:paraId="73DEB0ED"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Whether the same or different UE behavior is applicable with or without C-DRX</w:t>
      </w:r>
    </w:p>
    <w:p w14:paraId="413666D0" w14:textId="77777777" w:rsidR="0048678F" w:rsidRPr="000B1EA7" w:rsidRDefault="0048678F" w:rsidP="0048678F">
      <w:pPr>
        <w:numPr>
          <w:ilvl w:val="0"/>
          <w:numId w:val="35"/>
        </w:numPr>
        <w:suppressAutoHyphens/>
        <w:overflowPunct w:val="0"/>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FFS: RAN1 to consider impact on system if the channels/signals are not transmitted during non-active period</w:t>
      </w:r>
    </w:p>
    <w:p w14:paraId="5F1316FF" w14:textId="77777777" w:rsidR="0048678F" w:rsidRPr="000B1EA7" w:rsidRDefault="0048678F" w:rsidP="0048678F">
      <w:pPr>
        <w:spacing w:after="0" w:line="240" w:lineRule="auto"/>
        <w:rPr>
          <w:rFonts w:ascii="Times" w:eastAsia="Batang" w:hAnsi="Times" w:cs="Times"/>
          <w:sz w:val="20"/>
          <w:szCs w:val="24"/>
          <w:lang w:val="en-GB" w:eastAsia="x-none"/>
        </w:rPr>
      </w:pPr>
    </w:p>
    <w:p w14:paraId="7A6621E1" w14:textId="77777777" w:rsidR="0048678F" w:rsidRPr="000B1EA7" w:rsidRDefault="0048678F" w:rsidP="0048678F">
      <w:pPr>
        <w:spacing w:after="0" w:line="240" w:lineRule="auto"/>
        <w:jc w:val="both"/>
        <w:rPr>
          <w:rFonts w:ascii="Times New Roman" w:eastAsia="Malgun Gothic" w:hAnsi="Times New Roman" w:cs="Times New Roman"/>
          <w:b/>
          <w:bCs/>
          <w:sz w:val="20"/>
          <w:szCs w:val="20"/>
          <w:lang w:val="en-GB" w:eastAsia="ko-KR"/>
        </w:rPr>
      </w:pPr>
      <w:r w:rsidRPr="000B1EA7">
        <w:rPr>
          <w:rFonts w:ascii="Times New Roman" w:eastAsia="Malgun Gothic" w:hAnsi="Times New Roman" w:cs="Times New Roman"/>
          <w:b/>
          <w:bCs/>
          <w:sz w:val="20"/>
          <w:szCs w:val="20"/>
          <w:lang w:val="en-GB" w:eastAsia="ko-KR"/>
        </w:rPr>
        <w:t>Further study the following in RAN1:</w:t>
      </w:r>
    </w:p>
    <w:p w14:paraId="3B2EAE7F" w14:textId="77777777" w:rsidR="0048678F" w:rsidRPr="000B1EA7" w:rsidRDefault="0048678F" w:rsidP="0048678F">
      <w:pPr>
        <w:numPr>
          <w:ilvl w:val="0"/>
          <w:numId w:val="37"/>
        </w:numPr>
        <w:suppressAutoHyphens/>
        <w:spacing w:after="0" w:line="240" w:lineRule="auto"/>
        <w:jc w:val="both"/>
        <w:rPr>
          <w:rFonts w:ascii="Times New Roman" w:eastAsia="Malgun Gothic" w:hAnsi="Times New Roman" w:cs="Times New Roman"/>
          <w:strike/>
          <w:sz w:val="20"/>
          <w:szCs w:val="20"/>
          <w:lang w:val="en-GB" w:eastAsia="ko-KR"/>
        </w:rPr>
      </w:pPr>
      <w:r w:rsidRPr="000B1EA7">
        <w:rPr>
          <w:rFonts w:ascii="Times New Roman" w:eastAsia="Malgun Gothic" w:hAnsi="Times New Roman" w:cs="Times New Roman"/>
          <w:sz w:val="20"/>
          <w:szCs w:val="20"/>
          <w:lang w:val="en-GB" w:eastAsia="ko-KR"/>
        </w:rPr>
        <w:t>Handling of HARQ-ACK codebook generation when configured with cell DTX/DRX</w:t>
      </w:r>
    </w:p>
    <w:p w14:paraId="08E91E6C" w14:textId="77777777" w:rsidR="0048678F" w:rsidRPr="000B1EA7" w:rsidRDefault="0048678F" w:rsidP="0048678F">
      <w:pPr>
        <w:numPr>
          <w:ilvl w:val="0"/>
          <w:numId w:val="37"/>
        </w:numPr>
        <w:suppressAutoHyphens/>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Handling of PUCCH deferral operation during non-active periods of cell DRX</w:t>
      </w:r>
    </w:p>
    <w:p w14:paraId="7240D85E" w14:textId="77777777" w:rsidR="0048678F" w:rsidRPr="000B1EA7" w:rsidRDefault="0048678F" w:rsidP="0048678F">
      <w:pPr>
        <w:numPr>
          <w:ilvl w:val="0"/>
          <w:numId w:val="37"/>
        </w:numPr>
        <w:suppressAutoHyphens/>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Handling of overlapping channels where a least a channel overlaps with non-active periods of cell DTX/DRX</w:t>
      </w:r>
    </w:p>
    <w:p w14:paraId="3CB984C3" w14:textId="77777777" w:rsidR="0048678F" w:rsidRPr="000B1EA7" w:rsidRDefault="0048678F" w:rsidP="0048678F">
      <w:pPr>
        <w:numPr>
          <w:ilvl w:val="0"/>
          <w:numId w:val="37"/>
        </w:numPr>
        <w:suppressAutoHyphens/>
        <w:spacing w:after="0" w:line="240" w:lineRule="auto"/>
        <w:jc w:val="both"/>
        <w:rPr>
          <w:rFonts w:ascii="Times New Roman" w:eastAsia="Malgun Gothic" w:hAnsi="Times New Roman" w:cs="Times New Roman"/>
          <w:sz w:val="20"/>
          <w:szCs w:val="20"/>
          <w:lang w:val="en-GB" w:eastAsia="ko-KR"/>
        </w:rPr>
      </w:pPr>
      <w:r w:rsidRPr="000B1EA7">
        <w:rPr>
          <w:rFonts w:ascii="Times New Roman" w:eastAsia="Malgun Gothic" w:hAnsi="Times New Roman" w:cs="Times New Roman"/>
          <w:sz w:val="20"/>
          <w:szCs w:val="20"/>
          <w:lang w:val="en-GB" w:eastAsia="ko-KR"/>
        </w:rPr>
        <w:t>Handling of signals/channels that can be received/transmitted repeatedly during non-active periods of cell DTX/DRX</w:t>
      </w:r>
    </w:p>
    <w:p w14:paraId="3426F4FF" w14:textId="77777777" w:rsidR="0048678F" w:rsidRPr="000B1EA7" w:rsidRDefault="0048678F" w:rsidP="0048678F">
      <w:pPr>
        <w:numPr>
          <w:ilvl w:val="0"/>
          <w:numId w:val="37"/>
        </w:numPr>
        <w:suppressAutoHyphens/>
        <w:spacing w:after="0" w:line="240" w:lineRule="auto"/>
        <w:jc w:val="both"/>
        <w:rPr>
          <w:rFonts w:ascii="Times New Roman" w:eastAsia="DengXian" w:hAnsi="Times New Roman" w:cs="Times New Roman"/>
          <w:sz w:val="20"/>
          <w:szCs w:val="20"/>
          <w:lang w:val="en-GB" w:eastAsia="zh-CN"/>
        </w:rPr>
      </w:pPr>
      <w:r w:rsidRPr="000B1EA7">
        <w:rPr>
          <w:rFonts w:ascii="Times New Roman" w:eastAsia="DengXian" w:hAnsi="Times New Roman" w:cs="Times New Roman"/>
          <w:sz w:val="20"/>
          <w:szCs w:val="20"/>
          <w:lang w:val="en-GB" w:eastAsia="zh-CN"/>
        </w:rPr>
        <w:t>Handling of PUCCH switching during non-active period to an active cell</w:t>
      </w:r>
    </w:p>
    <w:p w14:paraId="5591B167" w14:textId="77777777" w:rsidR="0048678F" w:rsidRPr="000B1EA7" w:rsidRDefault="0048678F" w:rsidP="0048678F">
      <w:pPr>
        <w:numPr>
          <w:ilvl w:val="0"/>
          <w:numId w:val="37"/>
        </w:numPr>
        <w:suppressAutoHyphens/>
        <w:spacing w:after="0" w:line="240" w:lineRule="auto"/>
        <w:jc w:val="both"/>
        <w:rPr>
          <w:rFonts w:ascii="Times New Roman" w:eastAsia="DengXian" w:hAnsi="Times New Roman" w:cs="Times New Roman"/>
          <w:sz w:val="20"/>
          <w:szCs w:val="20"/>
          <w:lang w:val="en-GB" w:eastAsia="zh-CN"/>
        </w:rPr>
      </w:pPr>
      <w:r w:rsidRPr="000B1EA7">
        <w:rPr>
          <w:rFonts w:ascii="Times New Roman" w:eastAsia="DengXian" w:hAnsi="Times New Roman" w:cs="Times New Roman"/>
          <w:sz w:val="20"/>
          <w:szCs w:val="20"/>
          <w:lang w:val="en-GB" w:eastAsia="zh-CN"/>
        </w:rPr>
        <w:t>Other enhancements are not precluded.</w:t>
      </w:r>
    </w:p>
    <w:p w14:paraId="514FA34B" w14:textId="77777777" w:rsidR="0048678F" w:rsidRPr="000B1EA7" w:rsidRDefault="0048678F" w:rsidP="0048678F">
      <w:pPr>
        <w:spacing w:after="0" w:line="240" w:lineRule="auto"/>
        <w:rPr>
          <w:rFonts w:ascii="Times" w:eastAsia="Batang" w:hAnsi="Times" w:cs="Times"/>
          <w:sz w:val="20"/>
          <w:szCs w:val="24"/>
          <w:lang w:val="en-GB" w:eastAsia="x-none"/>
        </w:rPr>
      </w:pPr>
    </w:p>
    <w:p w14:paraId="77385D25" w14:textId="77777777" w:rsidR="0048678F" w:rsidRPr="000B1EA7" w:rsidRDefault="0048678F" w:rsidP="0048678F">
      <w:pPr>
        <w:spacing w:after="0" w:line="240" w:lineRule="auto"/>
        <w:rPr>
          <w:rFonts w:ascii="Times" w:eastAsia="Batang" w:hAnsi="Times" w:cs="Times"/>
          <w:b/>
          <w:bCs/>
          <w:sz w:val="20"/>
          <w:szCs w:val="24"/>
          <w:highlight w:val="green"/>
          <w:lang w:val="en-GB" w:eastAsia="x-none"/>
        </w:rPr>
      </w:pPr>
      <w:r w:rsidRPr="000B1EA7">
        <w:rPr>
          <w:rFonts w:ascii="Times" w:eastAsia="Batang" w:hAnsi="Times" w:cs="Times"/>
          <w:b/>
          <w:bCs/>
          <w:sz w:val="20"/>
          <w:szCs w:val="24"/>
          <w:highlight w:val="green"/>
          <w:lang w:val="en-GB" w:eastAsia="x-none"/>
        </w:rPr>
        <w:t>Agreement</w:t>
      </w:r>
    </w:p>
    <w:p w14:paraId="485A39AB" w14:textId="77777777" w:rsidR="0048678F" w:rsidRPr="000B1EA7" w:rsidRDefault="0048678F" w:rsidP="0048678F">
      <w:pPr>
        <w:spacing w:after="0" w:line="240" w:lineRule="auto"/>
        <w:rPr>
          <w:rFonts w:ascii="Times" w:eastAsia="Batang" w:hAnsi="Times" w:cs="Times"/>
          <w:sz w:val="20"/>
          <w:szCs w:val="24"/>
          <w:lang w:val="en-GB" w:eastAsia="x-none"/>
        </w:rPr>
      </w:pPr>
      <w:r w:rsidRPr="000B1EA7">
        <w:rPr>
          <w:rFonts w:ascii="Times" w:eastAsia="Batang" w:hAnsi="Times" w:cs="Times"/>
          <w:sz w:val="20"/>
          <w:szCs w:val="24"/>
          <w:lang w:val="en-GB" w:eastAsia="x-none"/>
        </w:rPr>
        <w:t>For PDDCH monitoring, further work on Rel-18 NES in RAN1 is to follow the RAN2 agreement below:</w:t>
      </w:r>
    </w:p>
    <w:p w14:paraId="48633E3F" w14:textId="77777777" w:rsidR="0048678F" w:rsidRPr="000B1EA7" w:rsidRDefault="0048678F" w:rsidP="0048678F">
      <w:pPr>
        <w:spacing w:after="0" w:line="240" w:lineRule="auto"/>
        <w:ind w:left="360"/>
        <w:jc w:val="both"/>
        <w:rPr>
          <w:rFonts w:ascii="Times New Roman" w:eastAsia="Malgun Gothic" w:hAnsi="Times New Roman" w:cs="Times New Roman"/>
          <w:i/>
          <w:iCs/>
          <w:sz w:val="20"/>
          <w:szCs w:val="20"/>
          <w:lang w:val="en-GB" w:eastAsia="ko-KR"/>
        </w:rPr>
      </w:pPr>
      <w:r w:rsidRPr="000B1EA7">
        <w:rPr>
          <w:rFonts w:ascii="Times New Roman" w:eastAsia="Malgun Gothic" w:hAnsi="Times New Roman" w:cs="Times New Roman"/>
          <w:i/>
          <w:iCs/>
          <w:sz w:val="20"/>
          <w:szCs w:val="20"/>
          <w:lang w:val="en-GB" w:eastAsia="ko-KR"/>
        </w:rPr>
        <w:t>10.</w:t>
      </w:r>
      <w:r w:rsidRPr="000B1EA7">
        <w:rPr>
          <w:rFonts w:ascii="Times New Roman" w:eastAsia="Malgun Gothic" w:hAnsi="Times New Roman" w:cs="Times New Roman"/>
          <w:i/>
          <w:iCs/>
          <w:sz w:val="20"/>
          <w:szCs w:val="20"/>
          <w:lang w:val="en-GB"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257CAA9" w14:textId="77777777" w:rsidR="0048678F" w:rsidRPr="000B1EA7" w:rsidRDefault="0048678F" w:rsidP="0048678F">
      <w:pPr>
        <w:spacing w:after="0" w:line="240" w:lineRule="auto"/>
        <w:rPr>
          <w:rFonts w:ascii="Times" w:eastAsia="Batang" w:hAnsi="Times" w:cs="Times"/>
          <w:sz w:val="20"/>
          <w:szCs w:val="24"/>
          <w:lang w:val="en-GB" w:eastAsia="x-none"/>
        </w:rPr>
      </w:pPr>
    </w:p>
    <w:p w14:paraId="1D066BB8" w14:textId="77777777" w:rsidR="0048678F" w:rsidRPr="000B1EA7" w:rsidRDefault="0048678F" w:rsidP="0048678F">
      <w:pPr>
        <w:spacing w:after="0" w:line="240" w:lineRule="auto"/>
        <w:rPr>
          <w:rFonts w:ascii="Times" w:eastAsia="Batang" w:hAnsi="Times" w:cs="Times"/>
          <w:b/>
          <w:bCs/>
          <w:sz w:val="20"/>
          <w:szCs w:val="24"/>
          <w:highlight w:val="darkYellow"/>
          <w:lang w:val="en-GB" w:eastAsia="x-none"/>
        </w:rPr>
      </w:pPr>
      <w:r w:rsidRPr="000B1EA7">
        <w:rPr>
          <w:rFonts w:ascii="Times" w:eastAsia="Batang" w:hAnsi="Times" w:cs="Times"/>
          <w:b/>
          <w:bCs/>
          <w:sz w:val="20"/>
          <w:szCs w:val="24"/>
          <w:highlight w:val="darkYellow"/>
          <w:lang w:val="en-GB" w:eastAsia="x-none"/>
        </w:rPr>
        <w:t>Working Assumption</w:t>
      </w:r>
    </w:p>
    <w:p w14:paraId="1A5F3FC6" w14:textId="77777777" w:rsidR="0048678F" w:rsidRPr="000B1EA7" w:rsidRDefault="0048678F" w:rsidP="0048678F">
      <w:pPr>
        <w:suppressAutoHyphens/>
        <w:spacing w:after="0" w:line="240" w:lineRule="auto"/>
        <w:jc w:val="both"/>
        <w:rPr>
          <w:rFonts w:ascii="Times New Roman" w:eastAsia="Batang" w:hAnsi="Times New Roman" w:cs="Times New Roman"/>
          <w:sz w:val="20"/>
          <w:szCs w:val="20"/>
          <w:lang w:val="en-GB" w:eastAsia="zh-CN"/>
        </w:rPr>
      </w:pPr>
      <w:r w:rsidRPr="000B1EA7">
        <w:rPr>
          <w:rFonts w:ascii="Times New Roman" w:eastAsia="Malgun Gothic" w:hAnsi="Times New Roman" w:cs="Times New Roman"/>
          <w:sz w:val="20"/>
          <w:szCs w:val="20"/>
          <w:lang w:val="en-GB" w:eastAsia="ko-KR"/>
        </w:rPr>
        <w:t>Support of L1 signaling at least for activation/deactivation of a cell DTX and/or DRX configuration is feasible (e.g., in terms of enabling/disenabling the feature) from RAN1 perspective.</w:t>
      </w:r>
    </w:p>
    <w:p w14:paraId="531E3ECF" w14:textId="77777777" w:rsidR="0048678F" w:rsidRPr="000B1EA7" w:rsidRDefault="0048678F" w:rsidP="0048678F">
      <w:pPr>
        <w:numPr>
          <w:ilvl w:val="0"/>
          <w:numId w:val="36"/>
        </w:numPr>
        <w:suppressAutoHyphens/>
        <w:overflowPunct w:val="0"/>
        <w:spacing w:after="0" w:line="240" w:lineRule="auto"/>
        <w:rPr>
          <w:rFonts w:ascii="Times" w:eastAsia="SimSun" w:hAnsi="Times" w:cs="Times New Roman"/>
          <w:sz w:val="20"/>
          <w:szCs w:val="20"/>
          <w:lang w:val="en-GB" w:eastAsia="zh-CN"/>
        </w:rPr>
      </w:pPr>
      <w:r w:rsidRPr="000B1EA7">
        <w:rPr>
          <w:rFonts w:ascii="Times" w:eastAsia="SimSun" w:hAnsi="Times" w:cs="Times New Roman"/>
          <w:sz w:val="20"/>
          <w:szCs w:val="20"/>
          <w:lang w:val="en-GB" w:eastAsia="zh-CN"/>
        </w:rPr>
        <w:t>This does not imply that L1 activation/deactivation is supported in Rel-18\</w:t>
      </w:r>
    </w:p>
    <w:p w14:paraId="4A5C67A9" w14:textId="77777777" w:rsidR="0048678F" w:rsidRPr="000B1EA7" w:rsidRDefault="0048678F" w:rsidP="0048678F">
      <w:pPr>
        <w:numPr>
          <w:ilvl w:val="0"/>
          <w:numId w:val="36"/>
        </w:numPr>
        <w:suppressAutoHyphens/>
        <w:overflowPunct w:val="0"/>
        <w:spacing w:after="0" w:line="240" w:lineRule="auto"/>
        <w:rPr>
          <w:rFonts w:ascii="Times" w:eastAsia="SimSun" w:hAnsi="Times" w:cs="Times New Roman"/>
          <w:sz w:val="20"/>
          <w:szCs w:val="20"/>
          <w:lang w:val="en-GB" w:eastAsia="zh-CN"/>
        </w:rPr>
      </w:pPr>
      <w:r w:rsidRPr="000B1EA7">
        <w:rPr>
          <w:rFonts w:ascii="Times" w:eastAsia="SimSun" w:hAnsi="Times" w:cs="Times New Roman"/>
          <w:sz w:val="20"/>
          <w:szCs w:val="20"/>
          <w:lang w:val="en-GB" w:eastAsia="zh-CN"/>
        </w:rPr>
        <w:t>Note: Reliability, overhead, and benefits are FFS</w:t>
      </w:r>
    </w:p>
    <w:p w14:paraId="1B2D5ABE" w14:textId="77777777" w:rsidR="004456AF" w:rsidRDefault="004456AF"/>
    <w:sectPr w:rsidR="004456AF" w:rsidSect="00D46602">
      <w:headerReference w:type="even" r:id="rId9"/>
      <w:footerReference w:type="default" r:id="rId10"/>
      <w:footnotePr>
        <w:numRestart w:val="eachSect"/>
      </w:footnotePr>
      <w:pgSz w:w="11907" w:h="16840" w:code="9"/>
      <w:pgMar w:top="1134" w:right="992"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E217A" w14:textId="77777777" w:rsidR="00BC5F4F" w:rsidRDefault="00BC5F4F">
      <w:pPr>
        <w:spacing w:after="0" w:line="240" w:lineRule="auto"/>
      </w:pPr>
      <w:r>
        <w:separator/>
      </w:r>
    </w:p>
  </w:endnote>
  <w:endnote w:type="continuationSeparator" w:id="0">
    <w:p w14:paraId="0C83E175" w14:textId="77777777" w:rsidR="00BC5F4F" w:rsidRDefault="00BC5F4F">
      <w:pPr>
        <w:spacing w:after="0" w:line="240" w:lineRule="auto"/>
      </w:pPr>
      <w:r>
        <w:continuationSeparator/>
      </w:r>
    </w:p>
  </w:endnote>
  <w:endnote w:type="continuationNotice" w:id="1">
    <w:p w14:paraId="04B7A2E8" w14:textId="77777777" w:rsidR="00BC5F4F" w:rsidRDefault="00BC5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779D" w14:textId="77777777" w:rsidR="00D46602" w:rsidRDefault="00B95395" w:rsidP="00D46602">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4530" w14:textId="77777777" w:rsidR="00BC5F4F" w:rsidRDefault="00BC5F4F">
      <w:pPr>
        <w:spacing w:after="0" w:line="240" w:lineRule="auto"/>
      </w:pPr>
      <w:r>
        <w:separator/>
      </w:r>
    </w:p>
  </w:footnote>
  <w:footnote w:type="continuationSeparator" w:id="0">
    <w:p w14:paraId="18A61CC1" w14:textId="77777777" w:rsidR="00BC5F4F" w:rsidRDefault="00BC5F4F">
      <w:pPr>
        <w:spacing w:after="0" w:line="240" w:lineRule="auto"/>
      </w:pPr>
      <w:r>
        <w:continuationSeparator/>
      </w:r>
    </w:p>
  </w:footnote>
  <w:footnote w:type="continuationNotice" w:id="1">
    <w:p w14:paraId="0BB72635" w14:textId="77777777" w:rsidR="00BC5F4F" w:rsidRDefault="00BC5F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C331" w14:textId="77777777" w:rsidR="00D46602" w:rsidRDefault="00B953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90706"/>
    <w:multiLevelType w:val="hybridMultilevel"/>
    <w:tmpl w:val="5F72F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2078" w:hanging="360"/>
      </w:pPr>
      <w:rPr>
        <w:rFonts w:ascii="Courier New" w:hAnsi="Courier New" w:cs="Courier New" w:hint="default"/>
      </w:rPr>
    </w:lvl>
    <w:lvl w:ilvl="2">
      <w:start w:val="1"/>
      <w:numFmt w:val="bullet"/>
      <w:lvlText w:val=""/>
      <w:lvlJc w:val="left"/>
      <w:pPr>
        <w:ind w:left="2798" w:hanging="360"/>
      </w:pPr>
      <w:rPr>
        <w:rFonts w:ascii="Wingdings" w:hAnsi="Wingdings" w:hint="default"/>
      </w:rPr>
    </w:lvl>
    <w:lvl w:ilvl="3">
      <w:start w:val="1"/>
      <w:numFmt w:val="bullet"/>
      <w:lvlText w:val=""/>
      <w:lvlJc w:val="left"/>
      <w:pPr>
        <w:ind w:left="3518" w:hanging="360"/>
      </w:pPr>
      <w:rPr>
        <w:rFonts w:ascii="Symbol" w:hAnsi="Symbol" w:hint="default"/>
      </w:rPr>
    </w:lvl>
    <w:lvl w:ilvl="4">
      <w:start w:val="1"/>
      <w:numFmt w:val="bullet"/>
      <w:lvlText w:val="o"/>
      <w:lvlJc w:val="left"/>
      <w:pPr>
        <w:ind w:left="4238" w:hanging="360"/>
      </w:pPr>
      <w:rPr>
        <w:rFonts w:ascii="Courier New" w:hAnsi="Courier New" w:cs="Courier New" w:hint="default"/>
      </w:rPr>
    </w:lvl>
    <w:lvl w:ilvl="5">
      <w:start w:val="1"/>
      <w:numFmt w:val="bullet"/>
      <w:lvlText w:val=""/>
      <w:lvlJc w:val="left"/>
      <w:pPr>
        <w:ind w:left="4958" w:hanging="360"/>
      </w:pPr>
      <w:rPr>
        <w:rFonts w:ascii="Wingdings" w:hAnsi="Wingdings" w:hint="default"/>
      </w:rPr>
    </w:lvl>
    <w:lvl w:ilvl="6">
      <w:start w:val="1"/>
      <w:numFmt w:val="bullet"/>
      <w:lvlText w:val=""/>
      <w:lvlJc w:val="left"/>
      <w:pPr>
        <w:ind w:left="5678" w:hanging="360"/>
      </w:pPr>
      <w:rPr>
        <w:rFonts w:ascii="Symbol" w:hAnsi="Symbol" w:hint="default"/>
      </w:rPr>
    </w:lvl>
    <w:lvl w:ilvl="7">
      <w:start w:val="1"/>
      <w:numFmt w:val="bullet"/>
      <w:lvlText w:val="o"/>
      <w:lvlJc w:val="left"/>
      <w:pPr>
        <w:ind w:left="6398" w:hanging="360"/>
      </w:pPr>
      <w:rPr>
        <w:rFonts w:ascii="Courier New" w:hAnsi="Courier New" w:cs="Courier New" w:hint="default"/>
      </w:rPr>
    </w:lvl>
    <w:lvl w:ilvl="8">
      <w:start w:val="1"/>
      <w:numFmt w:val="bullet"/>
      <w:lvlText w:val=""/>
      <w:lvlJc w:val="left"/>
      <w:pPr>
        <w:ind w:left="7118" w:hanging="360"/>
      </w:pPr>
      <w:rPr>
        <w:rFonts w:ascii="Wingdings" w:hAnsi="Wingdings" w:hint="default"/>
      </w:rPr>
    </w:lvl>
  </w:abstractNum>
  <w:abstractNum w:abstractNumId="5" w15:restartNumberingAfterBreak="0">
    <w:nsid w:val="1F4D0288"/>
    <w:multiLevelType w:val="hybridMultilevel"/>
    <w:tmpl w:val="9886B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352B8"/>
    <w:multiLevelType w:val="hybridMultilevel"/>
    <w:tmpl w:val="33FCAEA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1500B"/>
    <w:multiLevelType w:val="hybridMultilevel"/>
    <w:tmpl w:val="0DBA11BE"/>
    <w:lvl w:ilvl="0" w:tplc="EAD0F28C">
      <w:start w:val="1"/>
      <w:numFmt w:val="bullet"/>
      <w:lvlText w:val=""/>
      <w:lvlJc w:val="left"/>
      <w:pPr>
        <w:tabs>
          <w:tab w:val="num" w:pos="720"/>
        </w:tabs>
        <w:ind w:left="720" w:hanging="360"/>
      </w:pPr>
      <w:rPr>
        <w:rFonts w:ascii="Symbol" w:hAnsi="Symbol" w:hint="default"/>
      </w:rPr>
    </w:lvl>
    <w:lvl w:ilvl="1" w:tplc="868A029A">
      <w:start w:val="1"/>
      <w:numFmt w:val="bullet"/>
      <w:lvlText w:val=""/>
      <w:lvlJc w:val="left"/>
      <w:pPr>
        <w:tabs>
          <w:tab w:val="num" w:pos="1440"/>
        </w:tabs>
        <w:ind w:left="1440" w:hanging="360"/>
      </w:pPr>
      <w:rPr>
        <w:rFonts w:ascii="Symbol" w:hAnsi="Symbol" w:hint="default"/>
      </w:rPr>
    </w:lvl>
    <w:lvl w:ilvl="2" w:tplc="345E594E" w:tentative="1">
      <w:start w:val="1"/>
      <w:numFmt w:val="bullet"/>
      <w:lvlText w:val=""/>
      <w:lvlJc w:val="left"/>
      <w:pPr>
        <w:tabs>
          <w:tab w:val="num" w:pos="2160"/>
        </w:tabs>
        <w:ind w:left="2160" w:hanging="360"/>
      </w:pPr>
      <w:rPr>
        <w:rFonts w:ascii="Symbol" w:hAnsi="Symbol" w:hint="default"/>
      </w:rPr>
    </w:lvl>
    <w:lvl w:ilvl="3" w:tplc="8AB27952" w:tentative="1">
      <w:start w:val="1"/>
      <w:numFmt w:val="bullet"/>
      <w:lvlText w:val=""/>
      <w:lvlJc w:val="left"/>
      <w:pPr>
        <w:tabs>
          <w:tab w:val="num" w:pos="2880"/>
        </w:tabs>
        <w:ind w:left="2880" w:hanging="360"/>
      </w:pPr>
      <w:rPr>
        <w:rFonts w:ascii="Symbol" w:hAnsi="Symbol" w:hint="default"/>
      </w:rPr>
    </w:lvl>
    <w:lvl w:ilvl="4" w:tplc="E4926134" w:tentative="1">
      <w:start w:val="1"/>
      <w:numFmt w:val="bullet"/>
      <w:lvlText w:val=""/>
      <w:lvlJc w:val="left"/>
      <w:pPr>
        <w:tabs>
          <w:tab w:val="num" w:pos="3600"/>
        </w:tabs>
        <w:ind w:left="3600" w:hanging="360"/>
      </w:pPr>
      <w:rPr>
        <w:rFonts w:ascii="Symbol" w:hAnsi="Symbol" w:hint="default"/>
      </w:rPr>
    </w:lvl>
    <w:lvl w:ilvl="5" w:tplc="9C444C6E" w:tentative="1">
      <w:start w:val="1"/>
      <w:numFmt w:val="bullet"/>
      <w:lvlText w:val=""/>
      <w:lvlJc w:val="left"/>
      <w:pPr>
        <w:tabs>
          <w:tab w:val="num" w:pos="4320"/>
        </w:tabs>
        <w:ind w:left="4320" w:hanging="360"/>
      </w:pPr>
      <w:rPr>
        <w:rFonts w:ascii="Symbol" w:hAnsi="Symbol" w:hint="default"/>
      </w:rPr>
    </w:lvl>
    <w:lvl w:ilvl="6" w:tplc="86249890" w:tentative="1">
      <w:start w:val="1"/>
      <w:numFmt w:val="bullet"/>
      <w:lvlText w:val=""/>
      <w:lvlJc w:val="left"/>
      <w:pPr>
        <w:tabs>
          <w:tab w:val="num" w:pos="5040"/>
        </w:tabs>
        <w:ind w:left="5040" w:hanging="360"/>
      </w:pPr>
      <w:rPr>
        <w:rFonts w:ascii="Symbol" w:hAnsi="Symbol" w:hint="default"/>
      </w:rPr>
    </w:lvl>
    <w:lvl w:ilvl="7" w:tplc="6C7C41B4" w:tentative="1">
      <w:start w:val="1"/>
      <w:numFmt w:val="bullet"/>
      <w:lvlText w:val=""/>
      <w:lvlJc w:val="left"/>
      <w:pPr>
        <w:tabs>
          <w:tab w:val="num" w:pos="5760"/>
        </w:tabs>
        <w:ind w:left="5760" w:hanging="360"/>
      </w:pPr>
      <w:rPr>
        <w:rFonts w:ascii="Symbol" w:hAnsi="Symbol" w:hint="default"/>
      </w:rPr>
    </w:lvl>
    <w:lvl w:ilvl="8" w:tplc="15EC6E7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5D3872"/>
    <w:multiLevelType w:val="hybridMultilevel"/>
    <w:tmpl w:val="7288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D7C54FC"/>
    <w:multiLevelType w:val="hybridMultilevel"/>
    <w:tmpl w:val="3586AE38"/>
    <w:lvl w:ilvl="0" w:tplc="85EC2AE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01505E"/>
    <w:multiLevelType w:val="hybridMultilevel"/>
    <w:tmpl w:val="71A08DEC"/>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5D83"/>
    <w:multiLevelType w:val="hybridMultilevel"/>
    <w:tmpl w:val="74A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62312F"/>
    <w:multiLevelType w:val="hybridMultilevel"/>
    <w:tmpl w:val="44B2B9BE"/>
    <w:lvl w:ilvl="0" w:tplc="62363414">
      <w:start w:val="1"/>
      <w:numFmt w:val="bullet"/>
      <w:lvlText w:val="-"/>
      <w:lvlJc w:val="left"/>
      <w:pPr>
        <w:tabs>
          <w:tab w:val="num" w:pos="720"/>
        </w:tabs>
        <w:ind w:left="720" w:hanging="360"/>
      </w:pPr>
      <w:rPr>
        <w:rFonts w:ascii="Times" w:hAnsi="Times" w:hint="default"/>
      </w:rPr>
    </w:lvl>
    <w:lvl w:ilvl="1" w:tplc="74043C14">
      <w:start w:val="1"/>
      <w:numFmt w:val="bullet"/>
      <w:lvlText w:val="-"/>
      <w:lvlJc w:val="left"/>
      <w:pPr>
        <w:tabs>
          <w:tab w:val="num" w:pos="1440"/>
        </w:tabs>
        <w:ind w:left="1440" w:hanging="360"/>
      </w:pPr>
      <w:rPr>
        <w:rFonts w:ascii="Times" w:hAnsi="Times" w:hint="default"/>
      </w:rPr>
    </w:lvl>
    <w:lvl w:ilvl="2" w:tplc="5842717C" w:tentative="1">
      <w:start w:val="1"/>
      <w:numFmt w:val="bullet"/>
      <w:lvlText w:val="-"/>
      <w:lvlJc w:val="left"/>
      <w:pPr>
        <w:tabs>
          <w:tab w:val="num" w:pos="2160"/>
        </w:tabs>
        <w:ind w:left="2160" w:hanging="360"/>
      </w:pPr>
      <w:rPr>
        <w:rFonts w:ascii="Times" w:hAnsi="Times" w:hint="default"/>
      </w:rPr>
    </w:lvl>
    <w:lvl w:ilvl="3" w:tplc="04021ED4" w:tentative="1">
      <w:start w:val="1"/>
      <w:numFmt w:val="bullet"/>
      <w:lvlText w:val="-"/>
      <w:lvlJc w:val="left"/>
      <w:pPr>
        <w:tabs>
          <w:tab w:val="num" w:pos="2880"/>
        </w:tabs>
        <w:ind w:left="2880" w:hanging="360"/>
      </w:pPr>
      <w:rPr>
        <w:rFonts w:ascii="Times" w:hAnsi="Times" w:hint="default"/>
      </w:rPr>
    </w:lvl>
    <w:lvl w:ilvl="4" w:tplc="FBFC9500" w:tentative="1">
      <w:start w:val="1"/>
      <w:numFmt w:val="bullet"/>
      <w:lvlText w:val="-"/>
      <w:lvlJc w:val="left"/>
      <w:pPr>
        <w:tabs>
          <w:tab w:val="num" w:pos="3600"/>
        </w:tabs>
        <w:ind w:left="3600" w:hanging="360"/>
      </w:pPr>
      <w:rPr>
        <w:rFonts w:ascii="Times" w:hAnsi="Times" w:hint="default"/>
      </w:rPr>
    </w:lvl>
    <w:lvl w:ilvl="5" w:tplc="8C369A08" w:tentative="1">
      <w:start w:val="1"/>
      <w:numFmt w:val="bullet"/>
      <w:lvlText w:val="-"/>
      <w:lvlJc w:val="left"/>
      <w:pPr>
        <w:tabs>
          <w:tab w:val="num" w:pos="4320"/>
        </w:tabs>
        <w:ind w:left="4320" w:hanging="360"/>
      </w:pPr>
      <w:rPr>
        <w:rFonts w:ascii="Times" w:hAnsi="Times" w:hint="default"/>
      </w:rPr>
    </w:lvl>
    <w:lvl w:ilvl="6" w:tplc="96164CD2" w:tentative="1">
      <w:start w:val="1"/>
      <w:numFmt w:val="bullet"/>
      <w:lvlText w:val="-"/>
      <w:lvlJc w:val="left"/>
      <w:pPr>
        <w:tabs>
          <w:tab w:val="num" w:pos="5040"/>
        </w:tabs>
        <w:ind w:left="5040" w:hanging="360"/>
      </w:pPr>
      <w:rPr>
        <w:rFonts w:ascii="Times" w:hAnsi="Times" w:hint="default"/>
      </w:rPr>
    </w:lvl>
    <w:lvl w:ilvl="7" w:tplc="7D0A5FD2" w:tentative="1">
      <w:start w:val="1"/>
      <w:numFmt w:val="bullet"/>
      <w:lvlText w:val="-"/>
      <w:lvlJc w:val="left"/>
      <w:pPr>
        <w:tabs>
          <w:tab w:val="num" w:pos="5760"/>
        </w:tabs>
        <w:ind w:left="5760" w:hanging="360"/>
      </w:pPr>
      <w:rPr>
        <w:rFonts w:ascii="Times" w:hAnsi="Times" w:hint="default"/>
      </w:rPr>
    </w:lvl>
    <w:lvl w:ilvl="8" w:tplc="7FB82252"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1C03D5"/>
    <w:multiLevelType w:val="hybridMultilevel"/>
    <w:tmpl w:val="37202234"/>
    <w:lvl w:ilvl="0" w:tplc="615C8C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6DF529C3"/>
    <w:multiLevelType w:val="hybridMultilevel"/>
    <w:tmpl w:val="D16CB6BC"/>
    <w:lvl w:ilvl="0" w:tplc="DBA6F66C">
      <w:start w:val="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EA5317"/>
    <w:multiLevelType w:val="hybridMultilevel"/>
    <w:tmpl w:val="CA4A2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13D2F"/>
    <w:multiLevelType w:val="hybridMultilevel"/>
    <w:tmpl w:val="164A6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9952218">
    <w:abstractNumId w:val="10"/>
  </w:num>
  <w:num w:numId="2" w16cid:durableId="1929920450">
    <w:abstractNumId w:val="14"/>
  </w:num>
  <w:num w:numId="3" w16cid:durableId="617763156">
    <w:abstractNumId w:val="3"/>
  </w:num>
  <w:num w:numId="4" w16cid:durableId="1270896798">
    <w:abstractNumId w:val="23"/>
  </w:num>
  <w:num w:numId="5" w16cid:durableId="1865555307">
    <w:abstractNumId w:val="19"/>
  </w:num>
  <w:num w:numId="6" w16cid:durableId="1341279356">
    <w:abstractNumId w:val="21"/>
  </w:num>
  <w:num w:numId="7" w16cid:durableId="120422286">
    <w:abstractNumId w:val="6"/>
  </w:num>
  <w:num w:numId="8" w16cid:durableId="961307204">
    <w:abstractNumId w:val="26"/>
  </w:num>
  <w:num w:numId="9" w16cid:durableId="1101534405">
    <w:abstractNumId w:val="2"/>
  </w:num>
  <w:num w:numId="10" w16cid:durableId="623922914">
    <w:abstractNumId w:val="3"/>
  </w:num>
  <w:num w:numId="11" w16cid:durableId="680283237">
    <w:abstractNumId w:val="7"/>
  </w:num>
  <w:num w:numId="12" w16cid:durableId="158083749">
    <w:abstractNumId w:val="25"/>
  </w:num>
  <w:num w:numId="13" w16cid:durableId="1529026342">
    <w:abstractNumId w:val="10"/>
  </w:num>
  <w:num w:numId="14" w16cid:durableId="1248340313">
    <w:abstractNumId w:val="22"/>
  </w:num>
  <w:num w:numId="15" w16cid:durableId="64764592">
    <w:abstractNumId w:val="9"/>
  </w:num>
  <w:num w:numId="16" w16cid:durableId="1729378614">
    <w:abstractNumId w:val="27"/>
  </w:num>
  <w:num w:numId="17" w16cid:durableId="2058508717">
    <w:abstractNumId w:val="10"/>
  </w:num>
  <w:num w:numId="18" w16cid:durableId="365713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4810230">
    <w:abstractNumId w:val="10"/>
  </w:num>
  <w:num w:numId="20" w16cid:durableId="678045912">
    <w:abstractNumId w:val="10"/>
  </w:num>
  <w:num w:numId="21" w16cid:durableId="101800205">
    <w:abstractNumId w:val="10"/>
  </w:num>
  <w:num w:numId="22" w16cid:durableId="1131633991">
    <w:abstractNumId w:val="12"/>
  </w:num>
  <w:num w:numId="23" w16cid:durableId="586033792">
    <w:abstractNumId w:val="3"/>
  </w:num>
  <w:num w:numId="24" w16cid:durableId="240679952">
    <w:abstractNumId w:val="5"/>
  </w:num>
  <w:num w:numId="25" w16cid:durableId="160969341">
    <w:abstractNumId w:val="10"/>
  </w:num>
  <w:num w:numId="26" w16cid:durableId="1093477363">
    <w:abstractNumId w:val="4"/>
  </w:num>
  <w:num w:numId="27" w16cid:durableId="67118345">
    <w:abstractNumId w:val="11"/>
  </w:num>
  <w:num w:numId="28" w16cid:durableId="323439579">
    <w:abstractNumId w:val="20"/>
  </w:num>
  <w:num w:numId="29" w16cid:durableId="1540508846">
    <w:abstractNumId w:val="28"/>
  </w:num>
  <w:num w:numId="30" w16cid:durableId="1458446536">
    <w:abstractNumId w:val="24"/>
  </w:num>
  <w:num w:numId="31" w16cid:durableId="46148425">
    <w:abstractNumId w:val="8"/>
  </w:num>
  <w:num w:numId="32" w16cid:durableId="1553231819">
    <w:abstractNumId w:val="17"/>
  </w:num>
  <w:num w:numId="33" w16cid:durableId="373626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4856480">
    <w:abstractNumId w:val="15"/>
  </w:num>
  <w:num w:numId="35" w16cid:durableId="1486387086">
    <w:abstractNumId w:val="13"/>
  </w:num>
  <w:num w:numId="36" w16cid:durableId="1207911622">
    <w:abstractNumId w:val="16"/>
  </w:num>
  <w:num w:numId="37" w16cid:durableId="795101858">
    <w:abstractNumId w:val="18"/>
  </w:num>
  <w:num w:numId="38" w16cid:durableId="911351896">
    <w:abstractNumId w:val="0"/>
  </w:num>
  <w:num w:numId="39" w16cid:durableId="42171131">
    <w:abstractNumId w:val="1"/>
  </w:num>
  <w:num w:numId="40" w16cid:durableId="1684042741">
    <w:abstractNumId w:val="14"/>
  </w:num>
  <w:num w:numId="41" w16cid:durableId="540096034">
    <w:abstractNumId w:val="14"/>
  </w:num>
  <w:num w:numId="42" w16cid:durableId="7867734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395"/>
    <w:rsid w:val="0000332E"/>
    <w:rsid w:val="00003DBD"/>
    <w:rsid w:val="00006EE1"/>
    <w:rsid w:val="0001480D"/>
    <w:rsid w:val="000224C9"/>
    <w:rsid w:val="000372A3"/>
    <w:rsid w:val="000561C2"/>
    <w:rsid w:val="000578E9"/>
    <w:rsid w:val="000637BF"/>
    <w:rsid w:val="00066A57"/>
    <w:rsid w:val="000738E6"/>
    <w:rsid w:val="00075682"/>
    <w:rsid w:val="00076D22"/>
    <w:rsid w:val="000835BD"/>
    <w:rsid w:val="00083D05"/>
    <w:rsid w:val="000846C7"/>
    <w:rsid w:val="0008540A"/>
    <w:rsid w:val="00086364"/>
    <w:rsid w:val="000909E9"/>
    <w:rsid w:val="00094E9E"/>
    <w:rsid w:val="00095C90"/>
    <w:rsid w:val="000A3795"/>
    <w:rsid w:val="000B0E1E"/>
    <w:rsid w:val="000B1756"/>
    <w:rsid w:val="000B1EA7"/>
    <w:rsid w:val="000C13D4"/>
    <w:rsid w:val="000C217C"/>
    <w:rsid w:val="000C344F"/>
    <w:rsid w:val="000C3929"/>
    <w:rsid w:val="000C3AA5"/>
    <w:rsid w:val="000C5D85"/>
    <w:rsid w:val="000C6352"/>
    <w:rsid w:val="000D1E4D"/>
    <w:rsid w:val="000D67D5"/>
    <w:rsid w:val="000E262C"/>
    <w:rsid w:val="000E40B1"/>
    <w:rsid w:val="000F2DFC"/>
    <w:rsid w:val="000F2EAF"/>
    <w:rsid w:val="001012F1"/>
    <w:rsid w:val="00104695"/>
    <w:rsid w:val="0011009C"/>
    <w:rsid w:val="001112E8"/>
    <w:rsid w:val="001119E4"/>
    <w:rsid w:val="00113465"/>
    <w:rsid w:val="0011494A"/>
    <w:rsid w:val="00120B18"/>
    <w:rsid w:val="00123656"/>
    <w:rsid w:val="0012408E"/>
    <w:rsid w:val="0012409C"/>
    <w:rsid w:val="001248A6"/>
    <w:rsid w:val="001272A0"/>
    <w:rsid w:val="00133296"/>
    <w:rsid w:val="00133A07"/>
    <w:rsid w:val="00136215"/>
    <w:rsid w:val="00136CD7"/>
    <w:rsid w:val="001424CB"/>
    <w:rsid w:val="0014359C"/>
    <w:rsid w:val="00145C3C"/>
    <w:rsid w:val="0014695E"/>
    <w:rsid w:val="00153162"/>
    <w:rsid w:val="00154A9F"/>
    <w:rsid w:val="001565FA"/>
    <w:rsid w:val="00163C2E"/>
    <w:rsid w:val="00171E81"/>
    <w:rsid w:val="0017234E"/>
    <w:rsid w:val="00185198"/>
    <w:rsid w:val="00185900"/>
    <w:rsid w:val="001A4B72"/>
    <w:rsid w:val="001B21AA"/>
    <w:rsid w:val="001B5EE7"/>
    <w:rsid w:val="001B62C2"/>
    <w:rsid w:val="001C0A9D"/>
    <w:rsid w:val="001C470D"/>
    <w:rsid w:val="001D2C16"/>
    <w:rsid w:val="001D537B"/>
    <w:rsid w:val="001D721A"/>
    <w:rsid w:val="001E271F"/>
    <w:rsid w:val="001E2737"/>
    <w:rsid w:val="001F04D2"/>
    <w:rsid w:val="001F7EA2"/>
    <w:rsid w:val="00201299"/>
    <w:rsid w:val="00203EF2"/>
    <w:rsid w:val="00206CBD"/>
    <w:rsid w:val="00214BD3"/>
    <w:rsid w:val="00220407"/>
    <w:rsid w:val="00220671"/>
    <w:rsid w:val="00224383"/>
    <w:rsid w:val="0022543A"/>
    <w:rsid w:val="00227CCD"/>
    <w:rsid w:val="00232B93"/>
    <w:rsid w:val="002415CF"/>
    <w:rsid w:val="0024443E"/>
    <w:rsid w:val="00253FD0"/>
    <w:rsid w:val="00254355"/>
    <w:rsid w:val="00262542"/>
    <w:rsid w:val="002818BB"/>
    <w:rsid w:val="00282752"/>
    <w:rsid w:val="00284E44"/>
    <w:rsid w:val="002906E4"/>
    <w:rsid w:val="0029798F"/>
    <w:rsid w:val="002A6476"/>
    <w:rsid w:val="002B7085"/>
    <w:rsid w:val="002C18CE"/>
    <w:rsid w:val="002C40F7"/>
    <w:rsid w:val="002C65A1"/>
    <w:rsid w:val="002C7AE0"/>
    <w:rsid w:val="002D0CBF"/>
    <w:rsid w:val="002D51FE"/>
    <w:rsid w:val="002D53A9"/>
    <w:rsid w:val="002D69A4"/>
    <w:rsid w:val="002E3E07"/>
    <w:rsid w:val="002F45E1"/>
    <w:rsid w:val="002F5E71"/>
    <w:rsid w:val="002F7356"/>
    <w:rsid w:val="0030288A"/>
    <w:rsid w:val="00304CE6"/>
    <w:rsid w:val="0030747D"/>
    <w:rsid w:val="00310FB9"/>
    <w:rsid w:val="00313090"/>
    <w:rsid w:val="00313BAA"/>
    <w:rsid w:val="0031455E"/>
    <w:rsid w:val="00314D24"/>
    <w:rsid w:val="0031542B"/>
    <w:rsid w:val="0032201D"/>
    <w:rsid w:val="00326E79"/>
    <w:rsid w:val="00344D50"/>
    <w:rsid w:val="003536A9"/>
    <w:rsid w:val="00354D95"/>
    <w:rsid w:val="00356BA8"/>
    <w:rsid w:val="00364ADD"/>
    <w:rsid w:val="0036641E"/>
    <w:rsid w:val="003703F1"/>
    <w:rsid w:val="0038094F"/>
    <w:rsid w:val="00382607"/>
    <w:rsid w:val="00385C27"/>
    <w:rsid w:val="00386FA2"/>
    <w:rsid w:val="00387D75"/>
    <w:rsid w:val="00390433"/>
    <w:rsid w:val="00391751"/>
    <w:rsid w:val="003933C5"/>
    <w:rsid w:val="003933CA"/>
    <w:rsid w:val="00394143"/>
    <w:rsid w:val="0039600A"/>
    <w:rsid w:val="00396E4B"/>
    <w:rsid w:val="00397B3A"/>
    <w:rsid w:val="003A3C02"/>
    <w:rsid w:val="003A74D3"/>
    <w:rsid w:val="003B1818"/>
    <w:rsid w:val="003B3780"/>
    <w:rsid w:val="003B6223"/>
    <w:rsid w:val="003C106A"/>
    <w:rsid w:val="003C3372"/>
    <w:rsid w:val="003C4EF4"/>
    <w:rsid w:val="003D386B"/>
    <w:rsid w:val="003D49E6"/>
    <w:rsid w:val="003D5677"/>
    <w:rsid w:val="003E1DCF"/>
    <w:rsid w:val="003E5852"/>
    <w:rsid w:val="003E6C5F"/>
    <w:rsid w:val="003F0328"/>
    <w:rsid w:val="003F0564"/>
    <w:rsid w:val="003F1AB7"/>
    <w:rsid w:val="003F3272"/>
    <w:rsid w:val="003F4485"/>
    <w:rsid w:val="0040744B"/>
    <w:rsid w:val="0041336B"/>
    <w:rsid w:val="0042048B"/>
    <w:rsid w:val="00421819"/>
    <w:rsid w:val="00424AF4"/>
    <w:rsid w:val="004275E7"/>
    <w:rsid w:val="00427BB1"/>
    <w:rsid w:val="00435185"/>
    <w:rsid w:val="00440E5C"/>
    <w:rsid w:val="0044382C"/>
    <w:rsid w:val="00444109"/>
    <w:rsid w:val="004456AF"/>
    <w:rsid w:val="00447981"/>
    <w:rsid w:val="00451FFD"/>
    <w:rsid w:val="00455048"/>
    <w:rsid w:val="0045569A"/>
    <w:rsid w:val="0047128A"/>
    <w:rsid w:val="004722E4"/>
    <w:rsid w:val="004755A2"/>
    <w:rsid w:val="00480A5C"/>
    <w:rsid w:val="004813F1"/>
    <w:rsid w:val="0048200A"/>
    <w:rsid w:val="00482D51"/>
    <w:rsid w:val="00483147"/>
    <w:rsid w:val="00483779"/>
    <w:rsid w:val="004861AA"/>
    <w:rsid w:val="0048673E"/>
    <w:rsid w:val="0048678F"/>
    <w:rsid w:val="00487E87"/>
    <w:rsid w:val="00490518"/>
    <w:rsid w:val="00490B7E"/>
    <w:rsid w:val="00491434"/>
    <w:rsid w:val="00494B7B"/>
    <w:rsid w:val="00494DB3"/>
    <w:rsid w:val="004973E9"/>
    <w:rsid w:val="004A35F6"/>
    <w:rsid w:val="004A3E9C"/>
    <w:rsid w:val="004A681B"/>
    <w:rsid w:val="004A78C7"/>
    <w:rsid w:val="004C0EDF"/>
    <w:rsid w:val="004C2097"/>
    <w:rsid w:val="004C3507"/>
    <w:rsid w:val="004C4F3F"/>
    <w:rsid w:val="004D0707"/>
    <w:rsid w:val="004D0DD4"/>
    <w:rsid w:val="004F187C"/>
    <w:rsid w:val="00504FDD"/>
    <w:rsid w:val="00506CBA"/>
    <w:rsid w:val="0050719C"/>
    <w:rsid w:val="00514428"/>
    <w:rsid w:val="005156CF"/>
    <w:rsid w:val="00515964"/>
    <w:rsid w:val="00522FB8"/>
    <w:rsid w:val="00526299"/>
    <w:rsid w:val="00526B7F"/>
    <w:rsid w:val="0052723F"/>
    <w:rsid w:val="0053081C"/>
    <w:rsid w:val="0053180E"/>
    <w:rsid w:val="00540F00"/>
    <w:rsid w:val="00542788"/>
    <w:rsid w:val="005514AF"/>
    <w:rsid w:val="005604EC"/>
    <w:rsid w:val="00561BA4"/>
    <w:rsid w:val="0056270D"/>
    <w:rsid w:val="0056671A"/>
    <w:rsid w:val="00566795"/>
    <w:rsid w:val="0057157B"/>
    <w:rsid w:val="005720AB"/>
    <w:rsid w:val="00572843"/>
    <w:rsid w:val="0058278D"/>
    <w:rsid w:val="0058384B"/>
    <w:rsid w:val="00591CD2"/>
    <w:rsid w:val="00592B86"/>
    <w:rsid w:val="00593A3F"/>
    <w:rsid w:val="005A008A"/>
    <w:rsid w:val="005A2865"/>
    <w:rsid w:val="005A3938"/>
    <w:rsid w:val="005A48E0"/>
    <w:rsid w:val="005A646E"/>
    <w:rsid w:val="005B56B8"/>
    <w:rsid w:val="005B7F5D"/>
    <w:rsid w:val="005C2416"/>
    <w:rsid w:val="005C2F44"/>
    <w:rsid w:val="005C3ACF"/>
    <w:rsid w:val="005C3B84"/>
    <w:rsid w:val="005C4A04"/>
    <w:rsid w:val="005C76F8"/>
    <w:rsid w:val="005C7985"/>
    <w:rsid w:val="005C7B24"/>
    <w:rsid w:val="005D3A35"/>
    <w:rsid w:val="005D4279"/>
    <w:rsid w:val="005E7E66"/>
    <w:rsid w:val="005F1AE5"/>
    <w:rsid w:val="005F4C00"/>
    <w:rsid w:val="005F6A7C"/>
    <w:rsid w:val="00605E96"/>
    <w:rsid w:val="00606B40"/>
    <w:rsid w:val="00606C34"/>
    <w:rsid w:val="00610666"/>
    <w:rsid w:val="006138A4"/>
    <w:rsid w:val="006269A4"/>
    <w:rsid w:val="0063176D"/>
    <w:rsid w:val="00650C5A"/>
    <w:rsid w:val="006553DE"/>
    <w:rsid w:val="006558D6"/>
    <w:rsid w:val="00655FF9"/>
    <w:rsid w:val="006634EF"/>
    <w:rsid w:val="00663810"/>
    <w:rsid w:val="006644AC"/>
    <w:rsid w:val="00666254"/>
    <w:rsid w:val="00674586"/>
    <w:rsid w:val="00674FA9"/>
    <w:rsid w:val="00676865"/>
    <w:rsid w:val="006843B2"/>
    <w:rsid w:val="00684D0A"/>
    <w:rsid w:val="00690B7F"/>
    <w:rsid w:val="006A0874"/>
    <w:rsid w:val="006A1F2F"/>
    <w:rsid w:val="006B706A"/>
    <w:rsid w:val="006B76A8"/>
    <w:rsid w:val="006C0225"/>
    <w:rsid w:val="006C3D60"/>
    <w:rsid w:val="006C453E"/>
    <w:rsid w:val="006C6CA7"/>
    <w:rsid w:val="006D4F47"/>
    <w:rsid w:val="006D5C89"/>
    <w:rsid w:val="006E1B43"/>
    <w:rsid w:val="006F2136"/>
    <w:rsid w:val="006F4E3D"/>
    <w:rsid w:val="007108C9"/>
    <w:rsid w:val="0071368B"/>
    <w:rsid w:val="00714945"/>
    <w:rsid w:val="007176D6"/>
    <w:rsid w:val="007211CF"/>
    <w:rsid w:val="0072239D"/>
    <w:rsid w:val="0072382E"/>
    <w:rsid w:val="007248FC"/>
    <w:rsid w:val="00732617"/>
    <w:rsid w:val="00733018"/>
    <w:rsid w:val="00736306"/>
    <w:rsid w:val="00736E68"/>
    <w:rsid w:val="0074003E"/>
    <w:rsid w:val="00743FC5"/>
    <w:rsid w:val="00746137"/>
    <w:rsid w:val="00747055"/>
    <w:rsid w:val="00753631"/>
    <w:rsid w:val="007562C0"/>
    <w:rsid w:val="00756ABC"/>
    <w:rsid w:val="0076364B"/>
    <w:rsid w:val="00763C19"/>
    <w:rsid w:val="00766221"/>
    <w:rsid w:val="007670B0"/>
    <w:rsid w:val="00770691"/>
    <w:rsid w:val="00771306"/>
    <w:rsid w:val="007735C8"/>
    <w:rsid w:val="00784876"/>
    <w:rsid w:val="00785451"/>
    <w:rsid w:val="00786B9B"/>
    <w:rsid w:val="0079053B"/>
    <w:rsid w:val="0079354F"/>
    <w:rsid w:val="0079402F"/>
    <w:rsid w:val="00797E5E"/>
    <w:rsid w:val="007A059A"/>
    <w:rsid w:val="007A1D7A"/>
    <w:rsid w:val="007A76EB"/>
    <w:rsid w:val="007B0CDD"/>
    <w:rsid w:val="007C0392"/>
    <w:rsid w:val="007C1F3A"/>
    <w:rsid w:val="007C3CC7"/>
    <w:rsid w:val="007C6B54"/>
    <w:rsid w:val="007D146C"/>
    <w:rsid w:val="007D2891"/>
    <w:rsid w:val="007E1526"/>
    <w:rsid w:val="007E1910"/>
    <w:rsid w:val="007F0C8E"/>
    <w:rsid w:val="007F1B68"/>
    <w:rsid w:val="007F31C8"/>
    <w:rsid w:val="007F469D"/>
    <w:rsid w:val="007F53EF"/>
    <w:rsid w:val="007F6065"/>
    <w:rsid w:val="007F6174"/>
    <w:rsid w:val="007F7824"/>
    <w:rsid w:val="00801FD7"/>
    <w:rsid w:val="008067CB"/>
    <w:rsid w:val="00814457"/>
    <w:rsid w:val="008150D4"/>
    <w:rsid w:val="008160E5"/>
    <w:rsid w:val="0082135D"/>
    <w:rsid w:val="00821AE5"/>
    <w:rsid w:val="00821F0A"/>
    <w:rsid w:val="0082337A"/>
    <w:rsid w:val="00826174"/>
    <w:rsid w:val="00836C86"/>
    <w:rsid w:val="00846AB4"/>
    <w:rsid w:val="008555A6"/>
    <w:rsid w:val="00857D37"/>
    <w:rsid w:val="008612B4"/>
    <w:rsid w:val="008618A1"/>
    <w:rsid w:val="008626D5"/>
    <w:rsid w:val="00864BFC"/>
    <w:rsid w:val="008724BD"/>
    <w:rsid w:val="00872E04"/>
    <w:rsid w:val="00874C58"/>
    <w:rsid w:val="00874E24"/>
    <w:rsid w:val="00876FA8"/>
    <w:rsid w:val="00880C80"/>
    <w:rsid w:val="00891600"/>
    <w:rsid w:val="008A2B0E"/>
    <w:rsid w:val="008A7EFE"/>
    <w:rsid w:val="008B01B1"/>
    <w:rsid w:val="008B16DF"/>
    <w:rsid w:val="008C21B5"/>
    <w:rsid w:val="008C5D0E"/>
    <w:rsid w:val="008D11ED"/>
    <w:rsid w:val="008D1F67"/>
    <w:rsid w:val="008D3016"/>
    <w:rsid w:val="008D481F"/>
    <w:rsid w:val="008F102C"/>
    <w:rsid w:val="008F3BEF"/>
    <w:rsid w:val="008F4355"/>
    <w:rsid w:val="008F4F83"/>
    <w:rsid w:val="0090371D"/>
    <w:rsid w:val="00910593"/>
    <w:rsid w:val="0091605C"/>
    <w:rsid w:val="00921040"/>
    <w:rsid w:val="00932A03"/>
    <w:rsid w:val="00934E1A"/>
    <w:rsid w:val="0093583B"/>
    <w:rsid w:val="0093664B"/>
    <w:rsid w:val="00942AAD"/>
    <w:rsid w:val="00943CA3"/>
    <w:rsid w:val="00945032"/>
    <w:rsid w:val="00945713"/>
    <w:rsid w:val="0094713E"/>
    <w:rsid w:val="00947ED3"/>
    <w:rsid w:val="00956D0E"/>
    <w:rsid w:val="00957E69"/>
    <w:rsid w:val="009613E3"/>
    <w:rsid w:val="00967884"/>
    <w:rsid w:val="00970468"/>
    <w:rsid w:val="009731AD"/>
    <w:rsid w:val="0097678A"/>
    <w:rsid w:val="00977971"/>
    <w:rsid w:val="009803FF"/>
    <w:rsid w:val="00982120"/>
    <w:rsid w:val="0098405D"/>
    <w:rsid w:val="00990E2B"/>
    <w:rsid w:val="009925B5"/>
    <w:rsid w:val="009A00F6"/>
    <w:rsid w:val="009A22C0"/>
    <w:rsid w:val="009B505C"/>
    <w:rsid w:val="009B540F"/>
    <w:rsid w:val="009B7110"/>
    <w:rsid w:val="009B77EE"/>
    <w:rsid w:val="009C0DA3"/>
    <w:rsid w:val="009C1F51"/>
    <w:rsid w:val="009C7A2B"/>
    <w:rsid w:val="009D0213"/>
    <w:rsid w:val="009D2B7D"/>
    <w:rsid w:val="009D3134"/>
    <w:rsid w:val="009E0D47"/>
    <w:rsid w:val="009E6C3A"/>
    <w:rsid w:val="009E7561"/>
    <w:rsid w:val="009F00A1"/>
    <w:rsid w:val="009F4E14"/>
    <w:rsid w:val="00A00F18"/>
    <w:rsid w:val="00A037FC"/>
    <w:rsid w:val="00A03E9A"/>
    <w:rsid w:val="00A134B3"/>
    <w:rsid w:val="00A143CC"/>
    <w:rsid w:val="00A145C5"/>
    <w:rsid w:val="00A14A00"/>
    <w:rsid w:val="00A3798D"/>
    <w:rsid w:val="00A40EC2"/>
    <w:rsid w:val="00A435B9"/>
    <w:rsid w:val="00A53538"/>
    <w:rsid w:val="00A53817"/>
    <w:rsid w:val="00A55BD1"/>
    <w:rsid w:val="00A62D74"/>
    <w:rsid w:val="00A653D9"/>
    <w:rsid w:val="00A672A1"/>
    <w:rsid w:val="00A67A82"/>
    <w:rsid w:val="00A76573"/>
    <w:rsid w:val="00A7719A"/>
    <w:rsid w:val="00A800BD"/>
    <w:rsid w:val="00A87F1B"/>
    <w:rsid w:val="00A96B71"/>
    <w:rsid w:val="00A97EC4"/>
    <w:rsid w:val="00AA1BDE"/>
    <w:rsid w:val="00AA2E28"/>
    <w:rsid w:val="00AA3430"/>
    <w:rsid w:val="00AA5DAE"/>
    <w:rsid w:val="00AB053D"/>
    <w:rsid w:val="00AB55CD"/>
    <w:rsid w:val="00AB6524"/>
    <w:rsid w:val="00AC6AEF"/>
    <w:rsid w:val="00AD4E0E"/>
    <w:rsid w:val="00AE06A6"/>
    <w:rsid w:val="00AE3064"/>
    <w:rsid w:val="00AF2063"/>
    <w:rsid w:val="00AF26E2"/>
    <w:rsid w:val="00AF348F"/>
    <w:rsid w:val="00B007D7"/>
    <w:rsid w:val="00B04517"/>
    <w:rsid w:val="00B07DEB"/>
    <w:rsid w:val="00B1036E"/>
    <w:rsid w:val="00B154BC"/>
    <w:rsid w:val="00B17070"/>
    <w:rsid w:val="00B250AB"/>
    <w:rsid w:val="00B32B89"/>
    <w:rsid w:val="00B3380D"/>
    <w:rsid w:val="00B36751"/>
    <w:rsid w:val="00B3774C"/>
    <w:rsid w:val="00B42C1A"/>
    <w:rsid w:val="00B42FB8"/>
    <w:rsid w:val="00B451FC"/>
    <w:rsid w:val="00B55840"/>
    <w:rsid w:val="00B734A0"/>
    <w:rsid w:val="00B867F4"/>
    <w:rsid w:val="00B909C2"/>
    <w:rsid w:val="00B91F86"/>
    <w:rsid w:val="00B933AB"/>
    <w:rsid w:val="00B93A9A"/>
    <w:rsid w:val="00B95395"/>
    <w:rsid w:val="00B953E1"/>
    <w:rsid w:val="00B97606"/>
    <w:rsid w:val="00BA3F4D"/>
    <w:rsid w:val="00BB50EB"/>
    <w:rsid w:val="00BB6CE5"/>
    <w:rsid w:val="00BB6F6C"/>
    <w:rsid w:val="00BC25E9"/>
    <w:rsid w:val="00BC5F4F"/>
    <w:rsid w:val="00BD198B"/>
    <w:rsid w:val="00BE4395"/>
    <w:rsid w:val="00BE6DC8"/>
    <w:rsid w:val="00BF009F"/>
    <w:rsid w:val="00BF2577"/>
    <w:rsid w:val="00BF7B66"/>
    <w:rsid w:val="00C049FA"/>
    <w:rsid w:val="00C1501C"/>
    <w:rsid w:val="00C23CDA"/>
    <w:rsid w:val="00C243CD"/>
    <w:rsid w:val="00C517E5"/>
    <w:rsid w:val="00C5466A"/>
    <w:rsid w:val="00C6232E"/>
    <w:rsid w:val="00C66E6A"/>
    <w:rsid w:val="00C76FCF"/>
    <w:rsid w:val="00C805AB"/>
    <w:rsid w:val="00C825BA"/>
    <w:rsid w:val="00C87181"/>
    <w:rsid w:val="00C93FAE"/>
    <w:rsid w:val="00CA249A"/>
    <w:rsid w:val="00CA7FA5"/>
    <w:rsid w:val="00CB099C"/>
    <w:rsid w:val="00CB1CB6"/>
    <w:rsid w:val="00CB2049"/>
    <w:rsid w:val="00CB30CF"/>
    <w:rsid w:val="00CB38D7"/>
    <w:rsid w:val="00CB3908"/>
    <w:rsid w:val="00CB4E62"/>
    <w:rsid w:val="00CB5D5B"/>
    <w:rsid w:val="00CC23FD"/>
    <w:rsid w:val="00CC5E2B"/>
    <w:rsid w:val="00CC6582"/>
    <w:rsid w:val="00CD0707"/>
    <w:rsid w:val="00CD3C9A"/>
    <w:rsid w:val="00CD5FBC"/>
    <w:rsid w:val="00CD686C"/>
    <w:rsid w:val="00CD69AD"/>
    <w:rsid w:val="00CE755F"/>
    <w:rsid w:val="00CF047A"/>
    <w:rsid w:val="00CF7716"/>
    <w:rsid w:val="00D067F3"/>
    <w:rsid w:val="00D0692B"/>
    <w:rsid w:val="00D078C2"/>
    <w:rsid w:val="00D10DF1"/>
    <w:rsid w:val="00D11523"/>
    <w:rsid w:val="00D21D8A"/>
    <w:rsid w:val="00D225C0"/>
    <w:rsid w:val="00D22C4A"/>
    <w:rsid w:val="00D25FB1"/>
    <w:rsid w:val="00D316CA"/>
    <w:rsid w:val="00D351AC"/>
    <w:rsid w:val="00D36D60"/>
    <w:rsid w:val="00D42C06"/>
    <w:rsid w:val="00D42EFC"/>
    <w:rsid w:val="00D537AF"/>
    <w:rsid w:val="00D53DE5"/>
    <w:rsid w:val="00D55665"/>
    <w:rsid w:val="00D6147C"/>
    <w:rsid w:val="00D61C10"/>
    <w:rsid w:val="00D66BDE"/>
    <w:rsid w:val="00D70D51"/>
    <w:rsid w:val="00D72A99"/>
    <w:rsid w:val="00D73098"/>
    <w:rsid w:val="00D7565D"/>
    <w:rsid w:val="00D86AAF"/>
    <w:rsid w:val="00D87651"/>
    <w:rsid w:val="00D91A75"/>
    <w:rsid w:val="00D93906"/>
    <w:rsid w:val="00DA4C5C"/>
    <w:rsid w:val="00DB5B42"/>
    <w:rsid w:val="00DC0A4E"/>
    <w:rsid w:val="00DC13FF"/>
    <w:rsid w:val="00DC2703"/>
    <w:rsid w:val="00DC6EC0"/>
    <w:rsid w:val="00DC7743"/>
    <w:rsid w:val="00DD08A4"/>
    <w:rsid w:val="00DD19B2"/>
    <w:rsid w:val="00E04A63"/>
    <w:rsid w:val="00E05902"/>
    <w:rsid w:val="00E100F7"/>
    <w:rsid w:val="00E16C06"/>
    <w:rsid w:val="00E24569"/>
    <w:rsid w:val="00E24BEC"/>
    <w:rsid w:val="00E27370"/>
    <w:rsid w:val="00E32F86"/>
    <w:rsid w:val="00E420DD"/>
    <w:rsid w:val="00E42DD9"/>
    <w:rsid w:val="00E46219"/>
    <w:rsid w:val="00E46DDC"/>
    <w:rsid w:val="00E54352"/>
    <w:rsid w:val="00E62E8A"/>
    <w:rsid w:val="00E64932"/>
    <w:rsid w:val="00E66A96"/>
    <w:rsid w:val="00E67A09"/>
    <w:rsid w:val="00E733F8"/>
    <w:rsid w:val="00E82AC5"/>
    <w:rsid w:val="00E83742"/>
    <w:rsid w:val="00E9469D"/>
    <w:rsid w:val="00E96B64"/>
    <w:rsid w:val="00EA4561"/>
    <w:rsid w:val="00EA651F"/>
    <w:rsid w:val="00EC6689"/>
    <w:rsid w:val="00EC7C74"/>
    <w:rsid w:val="00ED2435"/>
    <w:rsid w:val="00EE0616"/>
    <w:rsid w:val="00EE614B"/>
    <w:rsid w:val="00EF4472"/>
    <w:rsid w:val="00F07EC7"/>
    <w:rsid w:val="00F33A13"/>
    <w:rsid w:val="00F425C2"/>
    <w:rsid w:val="00F43FB9"/>
    <w:rsid w:val="00F44322"/>
    <w:rsid w:val="00F456D2"/>
    <w:rsid w:val="00F47102"/>
    <w:rsid w:val="00F54837"/>
    <w:rsid w:val="00F60D7C"/>
    <w:rsid w:val="00F628C5"/>
    <w:rsid w:val="00F63D83"/>
    <w:rsid w:val="00F67446"/>
    <w:rsid w:val="00F67931"/>
    <w:rsid w:val="00F7256E"/>
    <w:rsid w:val="00F77F9C"/>
    <w:rsid w:val="00F8583E"/>
    <w:rsid w:val="00F86E13"/>
    <w:rsid w:val="00F86EB3"/>
    <w:rsid w:val="00F901D1"/>
    <w:rsid w:val="00F96E5E"/>
    <w:rsid w:val="00FA37FB"/>
    <w:rsid w:val="00FB4071"/>
    <w:rsid w:val="00FB7117"/>
    <w:rsid w:val="00FC5F26"/>
    <w:rsid w:val="00FC625A"/>
    <w:rsid w:val="00FC689E"/>
    <w:rsid w:val="00FD18AD"/>
    <w:rsid w:val="00FD18BD"/>
    <w:rsid w:val="00FD1DFF"/>
    <w:rsid w:val="00FD728C"/>
    <w:rsid w:val="00FD77AB"/>
    <w:rsid w:val="00FE0367"/>
    <w:rsid w:val="00FE40B9"/>
    <w:rsid w:val="00FE6543"/>
    <w:rsid w:val="00FE691F"/>
    <w:rsid w:val="00FF2E38"/>
    <w:rsid w:val="00FF32C2"/>
    <w:rsid w:val="00FF3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1A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02"/>
    <w:rPr>
      <w:rFonts w:eastAsiaTheme="minorEastAsia"/>
    </w:rPr>
  </w:style>
  <w:style w:type="paragraph" w:styleId="Heading1">
    <w:name w:val="heading 1"/>
    <w:next w:val="Normal"/>
    <w:link w:val="Heading1Char"/>
    <w:qFormat/>
    <w:rsid w:val="00B9539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95395"/>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539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39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9539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9539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9539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9539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9539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395"/>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B9539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9539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9539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9539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B9539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9539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9539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95395"/>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B95395"/>
    <w:pPr>
      <w:tabs>
        <w:tab w:val="left" w:pos="1701"/>
        <w:tab w:val="right" w:pos="9639"/>
      </w:tabs>
      <w:spacing w:after="240"/>
    </w:pPr>
    <w:rPr>
      <w:b/>
      <w:sz w:val="24"/>
    </w:rPr>
  </w:style>
  <w:style w:type="paragraph" w:styleId="Footer">
    <w:name w:val="footer"/>
    <w:basedOn w:val="Header"/>
    <w:link w:val="FooterChar"/>
    <w:rsid w:val="00B95395"/>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95395"/>
    <w:rPr>
      <w:rFonts w:ascii="Arial" w:eastAsia="Times New Roman" w:hAnsi="Arial" w:cs="Times New Roman"/>
      <w:b/>
      <w:i/>
      <w:noProof/>
      <w:sz w:val="18"/>
      <w:szCs w:val="20"/>
      <w:lang w:val="en-GB" w:eastAsia="ja-JP"/>
    </w:rPr>
  </w:style>
  <w:style w:type="character" w:styleId="PageNumber">
    <w:name w:val="page number"/>
    <w:basedOn w:val="DefaultParagraphFont"/>
    <w:rsid w:val="00B95395"/>
  </w:style>
  <w:style w:type="paragraph" w:styleId="BodyText">
    <w:name w:val="Body Text"/>
    <w:basedOn w:val="Normal"/>
    <w:link w:val="BodyTextChar"/>
    <w:uiPriority w:val="99"/>
    <w:qFormat/>
    <w:rsid w:val="00B95395"/>
    <w:pPr>
      <w:spacing w:after="120"/>
      <w:jc w:val="both"/>
    </w:pPr>
    <w:rPr>
      <w:rFonts w:ascii="Arial" w:hAnsi="Arial"/>
    </w:rPr>
  </w:style>
  <w:style w:type="character" w:customStyle="1" w:styleId="BodyTextChar">
    <w:name w:val="Body Text Char"/>
    <w:basedOn w:val="DefaultParagraphFont"/>
    <w:link w:val="BodyText"/>
    <w:uiPriority w:val="99"/>
    <w:qFormat/>
    <w:rsid w:val="00B95395"/>
    <w:rPr>
      <w:rFonts w:ascii="Arial" w:eastAsiaTheme="minorEastAsia" w:hAnsi="Arial"/>
    </w:rPr>
  </w:style>
  <w:style w:type="character" w:styleId="Hyperlink">
    <w:name w:val="Hyperlink"/>
    <w:uiPriority w:val="99"/>
    <w:qFormat/>
    <w:rsid w:val="00B95395"/>
    <w:rPr>
      <w:color w:val="0000FF"/>
      <w:u w:val="single"/>
    </w:rPr>
  </w:style>
  <w:style w:type="paragraph" w:customStyle="1" w:styleId="Proposal">
    <w:name w:val="Proposal"/>
    <w:basedOn w:val="BodyText"/>
    <w:qFormat/>
    <w:rsid w:val="00B95395"/>
    <w:pPr>
      <w:numPr>
        <w:numId w:val="1"/>
      </w:numPr>
      <w:tabs>
        <w:tab w:val="left" w:pos="1701"/>
      </w:tabs>
    </w:pPr>
    <w:rPr>
      <w:b/>
      <w:bCs/>
    </w:rPr>
  </w:style>
  <w:style w:type="paragraph" w:customStyle="1" w:styleId="Observation">
    <w:name w:val="Observation"/>
    <w:basedOn w:val="Proposal"/>
    <w:qFormat/>
    <w:rsid w:val="00B95395"/>
    <w:pPr>
      <w:numPr>
        <w:numId w:val="2"/>
      </w:numPr>
    </w:pPr>
    <w:rPr>
      <w:lang w:eastAsia="ja-JP"/>
    </w:rPr>
  </w:style>
  <w:style w:type="paragraph" w:styleId="TableofFigures">
    <w:name w:val="table of figures"/>
    <w:basedOn w:val="BodyText"/>
    <w:next w:val="Normal"/>
    <w:uiPriority w:val="99"/>
    <w:rsid w:val="00B95395"/>
    <w:pPr>
      <w:ind w:left="1701" w:hanging="1701"/>
      <w:jc w:val="left"/>
    </w:pPr>
    <w:rPr>
      <w:b/>
    </w:rPr>
  </w:style>
  <w:style w:type="paragraph" w:styleId="List2">
    <w:name w:val="List 2"/>
    <w:basedOn w:val="Normal"/>
    <w:rsid w:val="00B95395"/>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95395"/>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95395"/>
    <w:rPr>
      <w:rFonts w:eastAsiaTheme="minorEastAsia"/>
      <w:i/>
      <w:iCs/>
      <w:color w:val="44546A" w:themeColor="text2"/>
      <w:sz w:val="18"/>
      <w:szCs w:val="18"/>
    </w:rPr>
  </w:style>
  <w:style w:type="paragraph" w:customStyle="1" w:styleId="IvDbodytext">
    <w:name w:val="IvD bodytext"/>
    <w:basedOn w:val="BodyText"/>
    <w:link w:val="IvDbodytextChar"/>
    <w:qFormat/>
    <w:rsid w:val="00B95395"/>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B95395"/>
    <w:rPr>
      <w:rFonts w:ascii="Arial" w:eastAsiaTheme="minorEastAsia" w:hAnsi="Arial" w:cs="Times New Roman"/>
      <w:spacing w:val="2"/>
      <w:sz w:val="20"/>
      <w:szCs w:val="20"/>
    </w:rPr>
  </w:style>
  <w:style w:type="character" w:customStyle="1" w:styleId="ui-provider">
    <w:name w:val="ui-provider"/>
    <w:basedOn w:val="DefaultParagraphFont"/>
    <w:rsid w:val="00B95395"/>
  </w:style>
  <w:style w:type="paragraph" w:styleId="Header">
    <w:name w:val="header"/>
    <w:basedOn w:val="Normal"/>
    <w:link w:val="HeaderChar"/>
    <w:uiPriority w:val="99"/>
    <w:unhideWhenUsed/>
    <w:rsid w:val="00B953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395"/>
    <w:rPr>
      <w:rFonts w:eastAsiaTheme="minorEastAsi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490518"/>
    <w:pPr>
      <w:ind w:left="720"/>
      <w:contextualSpacing/>
    </w:pPr>
    <w:rPr>
      <w:rFonts w:eastAsiaTheme="minorHAnsi"/>
    </w:rPr>
  </w:style>
  <w:style w:type="character" w:styleId="CommentReference">
    <w:name w:val="annotation reference"/>
    <w:basedOn w:val="DefaultParagraphFont"/>
    <w:uiPriority w:val="99"/>
    <w:semiHidden/>
    <w:unhideWhenUsed/>
    <w:rsid w:val="00490518"/>
    <w:rPr>
      <w:sz w:val="16"/>
      <w:szCs w:val="16"/>
    </w:rPr>
  </w:style>
  <w:style w:type="paragraph" w:styleId="CommentText">
    <w:name w:val="annotation text"/>
    <w:basedOn w:val="Normal"/>
    <w:link w:val="CommentTextChar"/>
    <w:uiPriority w:val="99"/>
    <w:unhideWhenUsed/>
    <w:rsid w:val="00490518"/>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490518"/>
    <w:rPr>
      <w:sz w:val="20"/>
      <w:szCs w:val="20"/>
    </w:rPr>
  </w:style>
  <w:style w:type="paragraph" w:styleId="CommentSubject">
    <w:name w:val="annotation subject"/>
    <w:basedOn w:val="CommentText"/>
    <w:next w:val="CommentText"/>
    <w:link w:val="CommentSubjectChar"/>
    <w:uiPriority w:val="99"/>
    <w:semiHidden/>
    <w:unhideWhenUsed/>
    <w:rsid w:val="00490B7E"/>
    <w:rPr>
      <w:rFonts w:eastAsiaTheme="minorEastAsia"/>
      <w:b/>
      <w:bCs/>
    </w:rPr>
  </w:style>
  <w:style w:type="character" w:customStyle="1" w:styleId="CommentSubjectChar">
    <w:name w:val="Comment Subject Char"/>
    <w:basedOn w:val="CommentTextChar"/>
    <w:link w:val="CommentSubject"/>
    <w:uiPriority w:val="99"/>
    <w:semiHidden/>
    <w:rsid w:val="00490B7E"/>
    <w:rPr>
      <w:rFonts w:eastAsiaTheme="minorEastAsia"/>
      <w:b/>
      <w:bCs/>
      <w:sz w:val="20"/>
      <w:szCs w:val="20"/>
    </w:rPr>
  </w:style>
  <w:style w:type="character" w:styleId="UnresolvedMention">
    <w:name w:val="Unresolved Mention"/>
    <w:basedOn w:val="DefaultParagraphFont"/>
    <w:uiPriority w:val="99"/>
    <w:unhideWhenUsed/>
    <w:rsid w:val="00763C19"/>
    <w:rPr>
      <w:color w:val="605E5C"/>
      <w:shd w:val="clear" w:color="auto" w:fill="E1DFDD"/>
    </w:rPr>
  </w:style>
  <w:style w:type="character" w:styleId="Mention">
    <w:name w:val="Mention"/>
    <w:basedOn w:val="DefaultParagraphFont"/>
    <w:uiPriority w:val="99"/>
    <w:unhideWhenUsed/>
    <w:rsid w:val="00763C19"/>
    <w:rPr>
      <w:color w:val="2B579A"/>
      <w:shd w:val="clear" w:color="auto" w:fill="E1DFDD"/>
    </w:rPr>
  </w:style>
  <w:style w:type="paragraph" w:styleId="Revision">
    <w:name w:val="Revision"/>
    <w:hidden/>
    <w:uiPriority w:val="99"/>
    <w:semiHidden/>
    <w:rsid w:val="00FE6543"/>
    <w:pPr>
      <w:spacing w:after="0" w:line="240" w:lineRule="auto"/>
    </w:pPr>
    <w:rPr>
      <w:rFonts w:eastAsiaTheme="minorEastAsi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3E07"/>
  </w:style>
  <w:style w:type="paragraph" w:styleId="NormalWeb">
    <w:name w:val="Normal (Web)"/>
    <w:basedOn w:val="Normal"/>
    <w:uiPriority w:val="99"/>
    <w:semiHidden/>
    <w:unhideWhenUsed/>
    <w:rsid w:val="00756A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78535">
      <w:bodyDiv w:val="1"/>
      <w:marLeft w:val="0"/>
      <w:marRight w:val="0"/>
      <w:marTop w:val="0"/>
      <w:marBottom w:val="0"/>
      <w:divBdr>
        <w:top w:val="none" w:sz="0" w:space="0" w:color="auto"/>
        <w:left w:val="none" w:sz="0" w:space="0" w:color="auto"/>
        <w:bottom w:val="none" w:sz="0" w:space="0" w:color="auto"/>
        <w:right w:val="none" w:sz="0" w:space="0" w:color="auto"/>
      </w:divBdr>
    </w:div>
    <w:div w:id="715467063">
      <w:bodyDiv w:val="1"/>
      <w:marLeft w:val="0"/>
      <w:marRight w:val="0"/>
      <w:marTop w:val="0"/>
      <w:marBottom w:val="0"/>
      <w:divBdr>
        <w:top w:val="none" w:sz="0" w:space="0" w:color="auto"/>
        <w:left w:val="none" w:sz="0" w:space="0" w:color="auto"/>
        <w:bottom w:val="none" w:sz="0" w:space="0" w:color="auto"/>
        <w:right w:val="none" w:sz="0" w:space="0" w:color="auto"/>
      </w:divBdr>
      <w:divsChild>
        <w:div w:id="1260409993">
          <w:marLeft w:val="1123"/>
          <w:marRight w:val="0"/>
          <w:marTop w:val="0"/>
          <w:marBottom w:val="0"/>
          <w:divBdr>
            <w:top w:val="none" w:sz="0" w:space="0" w:color="auto"/>
            <w:left w:val="none" w:sz="0" w:space="0" w:color="auto"/>
            <w:bottom w:val="none" w:sz="0" w:space="0" w:color="auto"/>
            <w:right w:val="none" w:sz="0" w:space="0" w:color="auto"/>
          </w:divBdr>
        </w:div>
        <w:div w:id="1264220960">
          <w:marLeft w:val="1123"/>
          <w:marRight w:val="0"/>
          <w:marTop w:val="0"/>
          <w:marBottom w:val="0"/>
          <w:divBdr>
            <w:top w:val="none" w:sz="0" w:space="0" w:color="auto"/>
            <w:left w:val="none" w:sz="0" w:space="0" w:color="auto"/>
            <w:bottom w:val="none" w:sz="0" w:space="0" w:color="auto"/>
            <w:right w:val="none" w:sz="0" w:space="0" w:color="auto"/>
          </w:divBdr>
        </w:div>
      </w:divsChild>
    </w:div>
    <w:div w:id="857163782">
      <w:bodyDiv w:val="1"/>
      <w:marLeft w:val="0"/>
      <w:marRight w:val="0"/>
      <w:marTop w:val="0"/>
      <w:marBottom w:val="0"/>
      <w:divBdr>
        <w:top w:val="none" w:sz="0" w:space="0" w:color="auto"/>
        <w:left w:val="none" w:sz="0" w:space="0" w:color="auto"/>
        <w:bottom w:val="none" w:sz="0" w:space="0" w:color="auto"/>
        <w:right w:val="none" w:sz="0" w:space="0" w:color="auto"/>
      </w:divBdr>
      <w:divsChild>
        <w:div w:id="1295603060">
          <w:marLeft w:val="1123"/>
          <w:marRight w:val="0"/>
          <w:marTop w:val="0"/>
          <w:marBottom w:val="0"/>
          <w:divBdr>
            <w:top w:val="none" w:sz="0" w:space="0" w:color="auto"/>
            <w:left w:val="none" w:sz="0" w:space="0" w:color="auto"/>
            <w:bottom w:val="none" w:sz="0" w:space="0" w:color="auto"/>
            <w:right w:val="none" w:sz="0" w:space="0" w:color="auto"/>
          </w:divBdr>
        </w:div>
        <w:div w:id="16080734">
          <w:marLeft w:val="1123"/>
          <w:marRight w:val="0"/>
          <w:marTop w:val="0"/>
          <w:marBottom w:val="0"/>
          <w:divBdr>
            <w:top w:val="none" w:sz="0" w:space="0" w:color="auto"/>
            <w:left w:val="none" w:sz="0" w:space="0" w:color="auto"/>
            <w:bottom w:val="none" w:sz="0" w:space="0" w:color="auto"/>
            <w:right w:val="none" w:sz="0" w:space="0" w:color="auto"/>
          </w:divBdr>
        </w:div>
      </w:divsChild>
    </w:div>
    <w:div w:id="1658068583">
      <w:bodyDiv w:val="1"/>
      <w:marLeft w:val="0"/>
      <w:marRight w:val="0"/>
      <w:marTop w:val="0"/>
      <w:marBottom w:val="0"/>
      <w:divBdr>
        <w:top w:val="none" w:sz="0" w:space="0" w:color="auto"/>
        <w:left w:val="none" w:sz="0" w:space="0" w:color="auto"/>
        <w:bottom w:val="none" w:sz="0" w:space="0" w:color="auto"/>
        <w:right w:val="none" w:sz="0" w:space="0" w:color="auto"/>
      </w:divBdr>
    </w:div>
    <w:div w:id="1733890152">
      <w:bodyDiv w:val="1"/>
      <w:marLeft w:val="0"/>
      <w:marRight w:val="0"/>
      <w:marTop w:val="0"/>
      <w:marBottom w:val="0"/>
      <w:divBdr>
        <w:top w:val="none" w:sz="0" w:space="0" w:color="auto"/>
        <w:left w:val="none" w:sz="0" w:space="0" w:color="auto"/>
        <w:bottom w:val="none" w:sz="0" w:space="0" w:color="auto"/>
        <w:right w:val="none" w:sz="0" w:space="0" w:color="auto"/>
      </w:divBdr>
    </w:div>
    <w:div w:id="1912503929">
      <w:bodyDiv w:val="1"/>
      <w:marLeft w:val="0"/>
      <w:marRight w:val="0"/>
      <w:marTop w:val="0"/>
      <w:marBottom w:val="0"/>
      <w:divBdr>
        <w:top w:val="none" w:sz="0" w:space="0" w:color="auto"/>
        <w:left w:val="none" w:sz="0" w:space="0" w:color="auto"/>
        <w:bottom w:val="none" w:sz="0" w:space="0" w:color="auto"/>
        <w:right w:val="none" w:sz="0" w:space="0" w:color="auto"/>
      </w:divBdr>
    </w:div>
    <w:div w:id="1994292599">
      <w:bodyDiv w:val="1"/>
      <w:marLeft w:val="0"/>
      <w:marRight w:val="0"/>
      <w:marTop w:val="0"/>
      <w:marBottom w:val="0"/>
      <w:divBdr>
        <w:top w:val="none" w:sz="0" w:space="0" w:color="auto"/>
        <w:left w:val="none" w:sz="0" w:space="0" w:color="auto"/>
        <w:bottom w:val="none" w:sz="0" w:space="0" w:color="auto"/>
        <w:right w:val="none" w:sz="0" w:space="0" w:color="auto"/>
      </w:divBdr>
    </w:div>
    <w:div w:id="20321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CE6921-5CB3-4F5D-BB7D-475084AFFF36}">
  <ds:schemaRefs>
    <ds:schemaRef ds:uri="http://schemas.openxmlformats.org/officeDocument/2006/bibliography"/>
  </ds:schemaRefs>
</ds:datastoreItem>
</file>

<file path=customXml/itemProps2.xml><?xml version="1.0" encoding="utf-8"?>
<ds:datastoreItem xmlns:ds="http://schemas.openxmlformats.org/officeDocument/2006/customXml" ds:itemID="{21747D16-D3D0-4972-94E7-0FB518F7AACA}"/>
</file>

<file path=customXml/itemProps3.xml><?xml version="1.0" encoding="utf-8"?>
<ds:datastoreItem xmlns:ds="http://schemas.openxmlformats.org/officeDocument/2006/customXml" ds:itemID="{7F13DE41-6A76-4021-B1C6-DC13FCF40A2D}"/>
</file>

<file path=customXml/itemProps4.xml><?xml version="1.0" encoding="utf-8"?>
<ds:datastoreItem xmlns:ds="http://schemas.openxmlformats.org/officeDocument/2006/customXml" ds:itemID="{02B653CE-1F48-4D5E-A799-C74571CFB7F4}"/>
</file>

<file path=docProps/app.xml><?xml version="1.0" encoding="utf-8"?>
<Properties xmlns="http://schemas.openxmlformats.org/officeDocument/2006/extended-properties" xmlns:vt="http://schemas.openxmlformats.org/officeDocument/2006/docPropsVTypes">
  <Template>Normal</Template>
  <TotalTime>0</TotalTime>
  <Pages>8</Pages>
  <Words>3264</Words>
  <Characters>18609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21830</CharactersWithSpaces>
  <SharedDoc>false</SharedDoc>
  <HLinks>
    <vt:vector size="72" baseType="variant">
      <vt:variant>
        <vt:i4>1310770</vt:i4>
      </vt:variant>
      <vt:variant>
        <vt:i4>41</vt:i4>
      </vt:variant>
      <vt:variant>
        <vt:i4>0</vt:i4>
      </vt:variant>
      <vt:variant>
        <vt:i4>5</vt:i4>
      </vt:variant>
      <vt:variant>
        <vt:lpwstr/>
      </vt:variant>
      <vt:variant>
        <vt:lpwstr>_Toc134705726</vt:lpwstr>
      </vt:variant>
      <vt:variant>
        <vt:i4>1310770</vt:i4>
      </vt:variant>
      <vt:variant>
        <vt:i4>38</vt:i4>
      </vt:variant>
      <vt:variant>
        <vt:i4>0</vt:i4>
      </vt:variant>
      <vt:variant>
        <vt:i4>5</vt:i4>
      </vt:variant>
      <vt:variant>
        <vt:lpwstr/>
      </vt:variant>
      <vt:variant>
        <vt:lpwstr>_Toc134705725</vt:lpwstr>
      </vt:variant>
      <vt:variant>
        <vt:i4>1310770</vt:i4>
      </vt:variant>
      <vt:variant>
        <vt:i4>35</vt:i4>
      </vt:variant>
      <vt:variant>
        <vt:i4>0</vt:i4>
      </vt:variant>
      <vt:variant>
        <vt:i4>5</vt:i4>
      </vt:variant>
      <vt:variant>
        <vt:lpwstr/>
      </vt:variant>
      <vt:variant>
        <vt:lpwstr>_Toc134705724</vt:lpwstr>
      </vt:variant>
      <vt:variant>
        <vt:i4>1310770</vt:i4>
      </vt:variant>
      <vt:variant>
        <vt:i4>32</vt:i4>
      </vt:variant>
      <vt:variant>
        <vt:i4>0</vt:i4>
      </vt:variant>
      <vt:variant>
        <vt:i4>5</vt:i4>
      </vt:variant>
      <vt:variant>
        <vt:lpwstr/>
      </vt:variant>
      <vt:variant>
        <vt:lpwstr>_Toc134705723</vt:lpwstr>
      </vt:variant>
      <vt:variant>
        <vt:i4>1310770</vt:i4>
      </vt:variant>
      <vt:variant>
        <vt:i4>29</vt:i4>
      </vt:variant>
      <vt:variant>
        <vt:i4>0</vt:i4>
      </vt:variant>
      <vt:variant>
        <vt:i4>5</vt:i4>
      </vt:variant>
      <vt:variant>
        <vt:lpwstr/>
      </vt:variant>
      <vt:variant>
        <vt:lpwstr>_Toc134705722</vt:lpwstr>
      </vt:variant>
      <vt:variant>
        <vt:i4>1310770</vt:i4>
      </vt:variant>
      <vt:variant>
        <vt:i4>26</vt:i4>
      </vt:variant>
      <vt:variant>
        <vt:i4>0</vt:i4>
      </vt:variant>
      <vt:variant>
        <vt:i4>5</vt:i4>
      </vt:variant>
      <vt:variant>
        <vt:lpwstr/>
      </vt:variant>
      <vt:variant>
        <vt:lpwstr>_Toc134705721</vt:lpwstr>
      </vt:variant>
      <vt:variant>
        <vt:i4>1507378</vt:i4>
      </vt:variant>
      <vt:variant>
        <vt:i4>23</vt:i4>
      </vt:variant>
      <vt:variant>
        <vt:i4>0</vt:i4>
      </vt:variant>
      <vt:variant>
        <vt:i4>5</vt:i4>
      </vt:variant>
      <vt:variant>
        <vt:lpwstr/>
      </vt:variant>
      <vt:variant>
        <vt:lpwstr>_Toc134705719</vt:lpwstr>
      </vt:variant>
      <vt:variant>
        <vt:i4>1507378</vt:i4>
      </vt:variant>
      <vt:variant>
        <vt:i4>20</vt:i4>
      </vt:variant>
      <vt:variant>
        <vt:i4>0</vt:i4>
      </vt:variant>
      <vt:variant>
        <vt:i4>5</vt:i4>
      </vt:variant>
      <vt:variant>
        <vt:lpwstr/>
      </vt:variant>
      <vt:variant>
        <vt:lpwstr>_Toc134705718</vt:lpwstr>
      </vt:variant>
      <vt:variant>
        <vt:i4>1507378</vt:i4>
      </vt:variant>
      <vt:variant>
        <vt:i4>17</vt:i4>
      </vt:variant>
      <vt:variant>
        <vt:i4>0</vt:i4>
      </vt:variant>
      <vt:variant>
        <vt:i4>5</vt:i4>
      </vt:variant>
      <vt:variant>
        <vt:lpwstr/>
      </vt:variant>
      <vt:variant>
        <vt:lpwstr>_Toc134705717</vt:lpwstr>
      </vt:variant>
      <vt:variant>
        <vt:i4>1507378</vt:i4>
      </vt:variant>
      <vt:variant>
        <vt:i4>11</vt:i4>
      </vt:variant>
      <vt:variant>
        <vt:i4>0</vt:i4>
      </vt:variant>
      <vt:variant>
        <vt:i4>5</vt:i4>
      </vt:variant>
      <vt:variant>
        <vt:lpwstr/>
      </vt:variant>
      <vt:variant>
        <vt:lpwstr>_Toc134705711</vt:lpwstr>
      </vt:variant>
      <vt:variant>
        <vt:i4>1507378</vt:i4>
      </vt:variant>
      <vt:variant>
        <vt:i4>8</vt:i4>
      </vt:variant>
      <vt:variant>
        <vt:i4>0</vt:i4>
      </vt:variant>
      <vt:variant>
        <vt:i4>5</vt:i4>
      </vt:variant>
      <vt:variant>
        <vt:lpwstr/>
      </vt:variant>
      <vt:variant>
        <vt:lpwstr>_Toc134705710</vt:lpwstr>
      </vt:variant>
      <vt:variant>
        <vt:i4>1441842</vt:i4>
      </vt:variant>
      <vt:variant>
        <vt:i4>5</vt:i4>
      </vt:variant>
      <vt:variant>
        <vt:i4>0</vt:i4>
      </vt:variant>
      <vt:variant>
        <vt:i4>5</vt:i4>
      </vt:variant>
      <vt:variant>
        <vt:lpwstr/>
      </vt:variant>
      <vt:variant>
        <vt:lpwstr>_Toc134705709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2023-05-15T05:54:00Z</dcterms:created>
  <dcterms:modified xsi:type="dcterms:W3CDTF">2023-05-15T05:57:00Z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